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F9" w:rsidRPr="001A48F9" w:rsidRDefault="001A48F9" w:rsidP="001A48F9">
      <w:pPr>
        <w:spacing w:after="0" w:line="240" w:lineRule="auto"/>
        <w:ind w:left="4678"/>
        <w:rPr>
          <w:rFonts w:ascii="Times New Roman" w:eastAsia="Times New Roman" w:hAnsi="Times New Roman" w:cs="Times New Roman"/>
          <w:bCs/>
          <w:sz w:val="24"/>
          <w:szCs w:val="24"/>
          <w:lang w:eastAsia="ru-RU"/>
        </w:rPr>
      </w:pPr>
      <w:bookmarkStart w:id="0" w:name="_GoBack"/>
      <w:bookmarkEnd w:id="0"/>
      <w:r w:rsidRPr="001A48F9">
        <w:rPr>
          <w:rFonts w:ascii="Times New Roman" w:eastAsia="Times New Roman" w:hAnsi="Times New Roman" w:cs="Times New Roman"/>
          <w:bCs/>
          <w:sz w:val="24"/>
          <w:szCs w:val="24"/>
          <w:lang w:eastAsia="ru-RU"/>
        </w:rPr>
        <w:t>Приложение №1</w:t>
      </w:r>
      <w:r w:rsidRPr="001A48F9">
        <w:rPr>
          <w:rFonts w:ascii="Times New Roman" w:eastAsia="Times New Roman" w:hAnsi="Times New Roman" w:cs="Times New Roman"/>
          <w:bCs/>
          <w:sz w:val="24"/>
          <w:szCs w:val="24"/>
          <w:lang w:eastAsia="ru-RU"/>
        </w:rPr>
        <w:br/>
        <w:t>к Положению об инсайдерской информации ОАО «МРСК Северного Кавказа»</w:t>
      </w:r>
    </w:p>
    <w:p w:rsidR="001A48F9" w:rsidRPr="001A48F9" w:rsidRDefault="001A48F9" w:rsidP="001A48F9">
      <w:pPr>
        <w:spacing w:after="0" w:line="240" w:lineRule="auto"/>
        <w:rPr>
          <w:rFonts w:ascii="Times New Roman" w:eastAsia="Times New Roman" w:hAnsi="Times New Roman" w:cs="Times New Roman"/>
          <w:sz w:val="26"/>
          <w:szCs w:val="26"/>
          <w:lang w:eastAsia="ru-RU"/>
        </w:rPr>
      </w:pPr>
    </w:p>
    <w:p w:rsidR="001A48F9" w:rsidRPr="001A48F9" w:rsidRDefault="001A48F9" w:rsidP="001A48F9">
      <w:pPr>
        <w:keepNext/>
        <w:spacing w:after="0" w:line="240" w:lineRule="auto"/>
        <w:jc w:val="center"/>
        <w:outlineLvl w:val="0"/>
        <w:rPr>
          <w:rFonts w:ascii="Times New Roman" w:eastAsia="Times New Roman" w:hAnsi="Times New Roman" w:cs="Times New Roman"/>
          <w:bCs/>
          <w:kern w:val="32"/>
          <w:sz w:val="26"/>
          <w:szCs w:val="26"/>
          <w:lang w:val="x-none" w:eastAsia="x-none"/>
        </w:rPr>
      </w:pPr>
      <w:bookmarkStart w:id="1" w:name="_Toc311621976"/>
      <w:bookmarkStart w:id="2" w:name="_Toc351568069"/>
      <w:r w:rsidRPr="001A48F9">
        <w:rPr>
          <w:rFonts w:ascii="Times New Roman" w:eastAsia="Times New Roman" w:hAnsi="Times New Roman" w:cs="Times New Roman"/>
          <w:bCs/>
          <w:kern w:val="32"/>
          <w:sz w:val="26"/>
          <w:szCs w:val="26"/>
          <w:lang w:val="x-none" w:eastAsia="x-none"/>
        </w:rPr>
        <w:t>Перечень инсайдерской информации</w:t>
      </w:r>
      <w:bookmarkEnd w:id="1"/>
      <w:bookmarkEnd w:id="2"/>
    </w:p>
    <w:p w:rsidR="001A48F9" w:rsidRPr="001A48F9" w:rsidRDefault="001A48F9" w:rsidP="001A48F9">
      <w:pPr>
        <w:spacing w:after="0" w:line="240" w:lineRule="auto"/>
        <w:rPr>
          <w:rFonts w:ascii="Times New Roman" w:eastAsia="Times New Roman" w:hAnsi="Times New Roman" w:cs="Times New Roman"/>
          <w:sz w:val="26"/>
          <w:szCs w:val="26"/>
          <w:lang w:eastAsia="ru-RU"/>
        </w:rPr>
      </w:pPr>
    </w:p>
    <w:p w:rsidR="001A48F9" w:rsidRPr="001A48F9" w:rsidRDefault="001A48F9" w:rsidP="001A48F9">
      <w:pPr>
        <w:spacing w:after="0" w:line="240" w:lineRule="auto"/>
        <w:ind w:firstLine="720"/>
        <w:jc w:val="both"/>
        <w:rPr>
          <w:rFonts w:ascii="Times New Roman" w:eastAsia="Times New Roman" w:hAnsi="Times New Roman" w:cs="Times New Roman"/>
          <w:sz w:val="26"/>
          <w:szCs w:val="26"/>
          <w:lang w:eastAsia="ru-RU"/>
        </w:rPr>
      </w:pPr>
      <w:r w:rsidRPr="001A48F9">
        <w:rPr>
          <w:rFonts w:ascii="Times New Roman" w:eastAsia="Times New Roman" w:hAnsi="Times New Roman" w:cs="Times New Roman"/>
          <w:bCs/>
          <w:color w:val="000000"/>
          <w:sz w:val="26"/>
          <w:szCs w:val="26"/>
          <w:lang w:eastAsia="ru-RU"/>
        </w:rPr>
        <w:t xml:space="preserve">К инсайдерской информации </w:t>
      </w:r>
      <w:r w:rsidRPr="001A48F9">
        <w:rPr>
          <w:rFonts w:ascii="Times New Roman" w:eastAsia="Times New Roman" w:hAnsi="Times New Roman" w:cs="Times New Roman"/>
          <w:sz w:val="26"/>
          <w:szCs w:val="26"/>
          <w:lang w:eastAsia="ru-RU"/>
        </w:rPr>
        <w:t>Общества относится следующая информация:</w:t>
      </w:r>
    </w:p>
    <w:p w:rsidR="001A48F9" w:rsidRPr="001A48F9" w:rsidRDefault="001A48F9" w:rsidP="001A48F9">
      <w:pPr>
        <w:spacing w:after="0" w:line="240" w:lineRule="auto"/>
        <w:jc w:val="both"/>
        <w:rPr>
          <w:rFonts w:ascii="Times New Roman" w:eastAsia="Times New Roman" w:hAnsi="Times New Roman" w:cs="Times New Roman"/>
          <w:sz w:val="26"/>
          <w:szCs w:val="26"/>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8979"/>
      </w:tblGrid>
      <w:tr w:rsidR="001A48F9" w:rsidRPr="001A48F9" w:rsidTr="00E90213">
        <w:trPr>
          <w:tblHeader/>
        </w:trPr>
        <w:tc>
          <w:tcPr>
            <w:tcW w:w="768" w:type="dxa"/>
            <w:shd w:val="clear" w:color="auto" w:fill="D9D9D9"/>
            <w:vAlign w:val="center"/>
          </w:tcPr>
          <w:p w:rsidR="001A48F9" w:rsidRPr="001A48F9" w:rsidRDefault="001A48F9" w:rsidP="001A48F9">
            <w:pPr>
              <w:spacing w:after="0" w:line="240" w:lineRule="auto"/>
              <w:jc w:val="center"/>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bCs/>
                <w:color w:val="000000"/>
                <w:sz w:val="24"/>
                <w:szCs w:val="24"/>
                <w:lang w:eastAsia="ru-RU"/>
              </w:rPr>
              <w:t xml:space="preserve">№ </w:t>
            </w:r>
            <w:proofErr w:type="gramStart"/>
            <w:r w:rsidRPr="001A48F9">
              <w:rPr>
                <w:rFonts w:ascii="Times New Roman" w:eastAsia="Times New Roman" w:hAnsi="Times New Roman" w:cs="Times New Roman"/>
                <w:bCs/>
                <w:color w:val="000000"/>
                <w:sz w:val="24"/>
                <w:szCs w:val="24"/>
                <w:lang w:eastAsia="ru-RU"/>
              </w:rPr>
              <w:t>п</w:t>
            </w:r>
            <w:proofErr w:type="gramEnd"/>
            <w:r w:rsidRPr="001A48F9">
              <w:rPr>
                <w:rFonts w:ascii="Times New Roman" w:eastAsia="Times New Roman" w:hAnsi="Times New Roman" w:cs="Times New Roman"/>
                <w:bCs/>
                <w:color w:val="000000"/>
                <w:sz w:val="24"/>
                <w:szCs w:val="24"/>
                <w:lang w:eastAsia="ru-RU"/>
              </w:rPr>
              <w:t>/п</w:t>
            </w:r>
          </w:p>
        </w:tc>
        <w:tc>
          <w:tcPr>
            <w:tcW w:w="8979" w:type="dxa"/>
            <w:shd w:val="clear" w:color="auto" w:fill="D9D9D9"/>
            <w:vAlign w:val="center"/>
          </w:tcPr>
          <w:p w:rsidR="001A48F9" w:rsidRPr="001A48F9" w:rsidRDefault="001A48F9" w:rsidP="001A48F9">
            <w:pPr>
              <w:spacing w:after="0" w:line="240" w:lineRule="auto"/>
              <w:jc w:val="center"/>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bCs/>
                <w:color w:val="000000"/>
                <w:sz w:val="24"/>
                <w:szCs w:val="24"/>
                <w:lang w:eastAsia="ru-RU"/>
              </w:rPr>
              <w:t>Тип информации</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созыве и проведении общего собрания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повестке дня заседания Совета директоров Общества, а также о принятых им решениях;</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фактах непринятия Советом директоров Общества следующих решений, которые должны быть приняты в соответствии с федеральными законами:</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созыве годового (очередного) общего собрания акционеров Общества, а также об иных решениях, связанных с подготовкой, созывом и проведением годового (очередного) общего собрания акционеров Общества;</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созыве (проведении) или об отказе в созыве (проведении) внеочередного общего собрания акционеров Общества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включении или об отказе во включении внесенных вопросов в повестку дня общего собрания акционеров Общества, а выдвинутых кандидатов – в список кандидатур для голосования по выборам в соответствующий орган Общества, которые предложены акционерами (акционером), являющимися в совокупности владельцами не менее чем 2 процентов голосующих акций Общества;</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 xml:space="preserve">об образовании единоличного исполнительного органа Общества на двух проведенных подряд заседаниях Совета директоров Общества либо в течение двух месяцев </w:t>
            </w:r>
            <w:proofErr w:type="gramStart"/>
            <w:r w:rsidRPr="001A48F9">
              <w:rPr>
                <w:rFonts w:ascii="Times New Roman" w:eastAsia="Times New Roman" w:hAnsi="Times New Roman" w:cs="Times New Roman"/>
                <w:sz w:val="24"/>
                <w:lang w:eastAsia="ru-RU"/>
              </w:rPr>
              <w:t>с даты прекращения</w:t>
            </w:r>
            <w:proofErr w:type="gramEnd"/>
            <w:r w:rsidRPr="001A48F9">
              <w:rPr>
                <w:rFonts w:ascii="Times New Roman" w:eastAsia="Times New Roman" w:hAnsi="Times New Roman" w:cs="Times New Roman"/>
                <w:sz w:val="24"/>
                <w:lang w:eastAsia="ru-RU"/>
              </w:rPr>
              <w:t xml:space="preserve"> или истечения срока действия полномочий ранее образованного единоличного исполнительного органа такого эмитента в случае, предусмотренном пунктом 6 статьи 69 Федерального закона от 26.12.1995 № 208-ФЗ «Об акционерных обществах»;</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досрочном прекращении полномочий единоличного исполнительного органа Общества, на двух проведенных подряд заседаниях Совета директоров Общества в случае, предусмотренном пунктом 7 статьи 69 Федерального закона «Об акционерных обществах»;</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созыве (проведении) внеочередного общего собрания акционеров Общества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об образовании временного единоличного исполнительного органа Общества и о проведении внеочередного общего собрания акционеров Общества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такого Общества принимается решение о</w:t>
            </w:r>
            <w:proofErr w:type="gramEnd"/>
            <w:r w:rsidRPr="001A48F9">
              <w:rPr>
                <w:rFonts w:ascii="Times New Roman" w:eastAsia="Times New Roman" w:hAnsi="Times New Roman" w:cs="Times New Roman"/>
                <w:sz w:val="24"/>
                <w:lang w:eastAsia="ru-RU"/>
              </w:rPr>
              <w:t xml:space="preserve"> </w:t>
            </w:r>
            <w:proofErr w:type="gramStart"/>
            <w:r w:rsidRPr="001A48F9">
              <w:rPr>
                <w:rFonts w:ascii="Times New Roman" w:eastAsia="Times New Roman" w:hAnsi="Times New Roman" w:cs="Times New Roman"/>
                <w:sz w:val="24"/>
                <w:lang w:eastAsia="ru-RU"/>
              </w:rPr>
              <w:t>приостановлении</w:t>
            </w:r>
            <w:proofErr w:type="gramEnd"/>
            <w:r w:rsidRPr="001A48F9">
              <w:rPr>
                <w:rFonts w:ascii="Times New Roman" w:eastAsia="Times New Roman" w:hAnsi="Times New Roman" w:cs="Times New Roman"/>
                <w:sz w:val="24"/>
                <w:lang w:eastAsia="ru-RU"/>
              </w:rPr>
              <w:t xml:space="preserve"> полномочий его единоличного исполнительного органа </w:t>
            </w:r>
            <w:r w:rsidRPr="001A48F9">
              <w:rPr>
                <w:rFonts w:ascii="Times New Roman" w:eastAsia="Times New Roman" w:hAnsi="Times New Roman" w:cs="Times New Roman"/>
                <w:sz w:val="24"/>
                <w:lang w:eastAsia="ru-RU"/>
              </w:rPr>
              <w:lastRenderedPageBreak/>
              <w:t>или полномочий управляющей организации (управляющего);</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bookmarkStart w:id="3" w:name="_Toc351559254"/>
            <w:bookmarkStart w:id="4" w:name="_Toc351559888"/>
            <w:proofErr w:type="gramStart"/>
            <w:r w:rsidRPr="001A48F9">
              <w:rPr>
                <w:rFonts w:ascii="Times New Roman" w:eastAsia="Times New Roman" w:hAnsi="Times New Roman" w:cs="Times New Roman"/>
                <w:sz w:val="24"/>
                <w:lang w:eastAsia="ru-RU"/>
              </w:rPr>
              <w:t>о рекомендациях в отношении полученного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bookmarkEnd w:id="3"/>
            <w:bookmarkEnd w:id="4"/>
            <w:proofErr w:type="gramEnd"/>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направлении Обществом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появлен</w:t>
            </w:r>
            <w:proofErr w:type="gramStart"/>
            <w:r w:rsidRPr="001A48F9">
              <w:rPr>
                <w:rFonts w:ascii="Times New Roman" w:eastAsia="Times New Roman" w:hAnsi="Times New Roman" w:cs="Times New Roman"/>
                <w:sz w:val="24"/>
                <w:lang w:eastAsia="ru-RU"/>
              </w:rPr>
              <w:t>ии у О</w:t>
            </w:r>
            <w:proofErr w:type="gramEnd"/>
            <w:r w:rsidRPr="001A48F9">
              <w:rPr>
                <w:rFonts w:ascii="Times New Roman" w:eastAsia="Times New Roman" w:hAnsi="Times New Roman" w:cs="Times New Roman"/>
                <w:sz w:val="24"/>
                <w:lang w:eastAsia="ru-RU"/>
              </w:rPr>
              <w:t>бщества подконтрольной ему организации, имеющей для него существенное значение, а также о прекращении оснований контроля над такой организацией;</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появлении лица, контролирующего Общество, а также о прекращении оснований такого контроля;</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принятии решения о реорганизации или ликвидации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появлен</w:t>
            </w:r>
            <w:proofErr w:type="gramStart"/>
            <w:r w:rsidRPr="001A48F9">
              <w:rPr>
                <w:rFonts w:ascii="Times New Roman" w:eastAsia="Times New Roman" w:hAnsi="Times New Roman" w:cs="Times New Roman"/>
                <w:sz w:val="24"/>
                <w:lang w:eastAsia="ru-RU"/>
              </w:rPr>
              <w:t>ии у О</w:t>
            </w:r>
            <w:proofErr w:type="gramEnd"/>
            <w:r w:rsidRPr="001A48F9">
              <w:rPr>
                <w:rFonts w:ascii="Times New Roman" w:eastAsia="Times New Roman" w:hAnsi="Times New Roman" w:cs="Times New Roman"/>
                <w:sz w:val="24"/>
                <w:lang w:eastAsia="ru-RU"/>
              </w:rPr>
              <w:t>бщества, контролирующего его лица, подконтрольной Обществу организации, имеющей для него существенное значение, либо у лица, предоставившего обеспечение по облигациям Общества, признаков несостоятельности (банкротства), предусмотренных законодательством Российской Федерации о несостоятельности (банкротстве);</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принятии арбитражным судом заявления о признании Общества, контролирующего его лица, подконтрольной Обществу организации, имеющей для него существенное значение, либо лица, предоставившего обеспечение по облигациям Общества,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roofErr w:type="gramEnd"/>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предъявлении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w:t>
            </w:r>
            <w:proofErr w:type="gramEnd"/>
            <w:r w:rsidRPr="001A48F9">
              <w:rPr>
                <w:rFonts w:ascii="Times New Roman" w:eastAsia="Times New Roman" w:hAnsi="Times New Roman" w:cs="Times New Roman"/>
                <w:sz w:val="24"/>
                <w:lang w:eastAsia="ru-RU"/>
              </w:rPr>
              <w:t xml:space="preserve"> которого, по мнению Общества, может существенным образом повлиять на финансово-хозяйственное положение Общества или указанных лиц;</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дате, на которую составляется список владельцев именных эмиссионных ценных бумаг Общества или документарных эмиссионных ценных бумаг Общества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принятии уполномоченными органами Общества следующих решений:</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2"/>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о размещении эмиссионных ценных бумаг Общества;</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2"/>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об утверждении решения о выпуске (дополнительном выпуске) эмиссионных ценных бумаг Общества;</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2"/>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об утверждении проспекта ценных бумаг Общества;</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2"/>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о дате начала размещения эмиссионных ценных бумаг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завершении размещения эмиссионных ценных бумаг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направлении (подаче) Обществом заявления на государственную регистрацию выпуска (дополнительного выпуска) эмиссионных ценных бумаг, регистрацию проспекта ценных бумаг,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выпуска) эмиссионных ценных бумаг;</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направлении (подаче) Обществом уведомления об итогах выпуска (дополнительного выпуска) эмиссионных ценных бумаг;</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 xml:space="preserve">о решении арбитражного суда о признании выпуска (дополнительного выпуска) эмиссионных ценных бумаг эмитента </w:t>
            </w:r>
            <w:proofErr w:type="gramStart"/>
            <w:r w:rsidRPr="001A48F9">
              <w:rPr>
                <w:rFonts w:ascii="Times New Roman" w:eastAsia="Times New Roman" w:hAnsi="Times New Roman" w:cs="Times New Roman"/>
                <w:sz w:val="24"/>
                <w:lang w:eastAsia="ru-RU"/>
              </w:rPr>
              <w:t>недействительным</w:t>
            </w:r>
            <w:proofErr w:type="gramEnd"/>
            <w:r w:rsidRPr="001A48F9">
              <w:rPr>
                <w:rFonts w:ascii="Times New Roman" w:eastAsia="Times New Roman" w:hAnsi="Times New Roman" w:cs="Times New Roman"/>
                <w:sz w:val="24"/>
                <w:lang w:eastAsia="ru-RU"/>
              </w:rPr>
              <w:t>;</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погашении эмиссионных ценных бумаг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начисленных и (или) выплаченных доходах по эмиссионным ценным бумагам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заключении Обществом договора с российским организатором торговли на рынке ценных бумаг о включении эмиссионных ценных бумаг Общества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Общества в котировальный список российской фондовой биржи;</w:t>
            </w:r>
            <w:proofErr w:type="gramEnd"/>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заключении Обществом договора 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roofErr w:type="gramEnd"/>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w:t>
            </w:r>
            <w:proofErr w:type="gramEnd"/>
            <w:r w:rsidRPr="001A48F9">
              <w:rPr>
                <w:rFonts w:ascii="Times New Roman" w:eastAsia="Times New Roman" w:hAnsi="Times New Roman" w:cs="Times New Roman"/>
                <w:sz w:val="24"/>
                <w:lang w:eastAsia="ru-RU"/>
              </w:rPr>
              <w:t xml:space="preserve"> списка;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заключении Обществом договора о поддержании (стабилизации) цен на эмиссионные ценные бумаги Общества (ценные бумаги иностранного эмитента, удостоверяющие права в отношении эмиссионных ценных бумаг Общества), об условиях указанного договора, а также о прекращении такого договора;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подаче Обществом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неисполнении обязательств Общества перед владельцами его эмиссионных ценных бумаг;</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Общества, распоряжаться определенным количеством голосов, приходящихся на голосующие акции, составляющие</w:t>
            </w:r>
            <w:proofErr w:type="gramEnd"/>
            <w:r w:rsidRPr="001A48F9">
              <w:rPr>
                <w:rFonts w:ascii="Times New Roman" w:eastAsia="Times New Roman" w:hAnsi="Times New Roman" w:cs="Times New Roman"/>
                <w:sz w:val="24"/>
                <w:lang w:eastAsia="ru-RU"/>
              </w:rPr>
              <w:t xml:space="preserve">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поступившем Обществу в соответствии с главой XI.I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поступившем Обществу в соответствии с главой XI.I Федерального закона «Об акционерных обществах» уведомлении о праве требовать выкупа эмиссионных ценных бумаг Общества или требовании о выкупе эмиссионных ценных бумаг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выявлении ошибок в ранее раскрытой или предоставленной бухгалтерской (финансовой) отчетности Общества, если такие ошибки могут оказать существенное влияние на цену эмиссионных ценных бумаг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совершении Обществом или лицом, предоставившим обеспечение по облигациям Общества, сделки, размер которой составляет 10 или более процентов балансовой стоимости активов Общества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совершении организацией, контролирующей Общество, или подконтрольной Обществу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bookmarkStart w:id="5" w:name="_Toc351559255"/>
            <w:bookmarkStart w:id="6" w:name="_Toc351559889"/>
            <w:r w:rsidRPr="001A48F9">
              <w:rPr>
                <w:rFonts w:ascii="Times New Roman" w:eastAsia="Times New Roman" w:hAnsi="Times New Roman" w:cs="Times New Roman"/>
                <w:sz w:val="24"/>
                <w:lang w:eastAsia="ru-RU"/>
              </w:rPr>
              <w:t>о совершении Обществом сделки, в совершении которой имеется заинтересованность и необходимость одобрения которой Советом директоров Общества предусмотрена законодательством Российской Федерации, если размер такой сделки составляет:</w:t>
            </w:r>
            <w:bookmarkEnd w:id="5"/>
            <w:bookmarkEnd w:id="6"/>
          </w:p>
          <w:p w:rsidR="001A48F9" w:rsidRPr="001A48F9" w:rsidRDefault="001A48F9" w:rsidP="001A48F9">
            <w:pPr>
              <w:numPr>
                <w:ilvl w:val="0"/>
                <w:numId w:val="7"/>
              </w:numPr>
              <w:spacing w:after="0" w:line="240" w:lineRule="auto"/>
              <w:jc w:val="both"/>
              <w:rPr>
                <w:rFonts w:ascii="Times New Roman" w:eastAsia="Times New Roman" w:hAnsi="Times New Roman" w:cs="Times New Roman"/>
                <w:sz w:val="24"/>
                <w:lang w:eastAsia="ru-RU"/>
              </w:rPr>
            </w:pPr>
            <w:bookmarkStart w:id="7" w:name="_Toc351559256"/>
            <w:bookmarkStart w:id="8" w:name="_Toc351559890"/>
            <w:r w:rsidRPr="001A48F9">
              <w:rPr>
                <w:rFonts w:ascii="Times New Roman" w:eastAsia="Times New Roman" w:hAnsi="Times New Roman" w:cs="Times New Roman"/>
                <w:sz w:val="24"/>
                <w:lang w:eastAsia="ru-RU"/>
              </w:rPr>
              <w:t>для Общества, балансовая стоимость активов которого на дату окончания отчетного периода (квартала, года), предшествующего одобрению сделки Советом директоров Общества, а если такая сделка Советом директоров Общества до ее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w:t>
            </w:r>
            <w:proofErr w:type="gramStart"/>
            <w:r w:rsidRPr="001A48F9">
              <w:rPr>
                <w:rFonts w:ascii="Times New Roman" w:eastAsia="Times New Roman" w:hAnsi="Times New Roman" w:cs="Times New Roman"/>
                <w:sz w:val="24"/>
                <w:lang w:eastAsia="ru-RU"/>
              </w:rPr>
              <w:t xml:space="preserve">финансовой) </w:t>
            </w:r>
            <w:proofErr w:type="gramEnd"/>
            <w:r w:rsidRPr="001A48F9">
              <w:rPr>
                <w:rFonts w:ascii="Times New Roman" w:eastAsia="Times New Roman" w:hAnsi="Times New Roman" w:cs="Times New Roman"/>
                <w:sz w:val="24"/>
                <w:lang w:eastAsia="ru-RU"/>
              </w:rPr>
              <w:t>отчетности, составляет не более 100 млрд. рублей, - 500 млн. рублей либо 2 или более процента балансовой стоимости активов Общества на указанную дату;</w:t>
            </w:r>
            <w:bookmarkEnd w:id="7"/>
            <w:bookmarkEnd w:id="8"/>
          </w:p>
          <w:p w:rsidR="001A48F9" w:rsidRPr="001A48F9" w:rsidRDefault="001A48F9" w:rsidP="001A48F9">
            <w:pPr>
              <w:numPr>
                <w:ilvl w:val="0"/>
                <w:numId w:val="7"/>
              </w:numPr>
              <w:spacing w:after="0" w:line="240" w:lineRule="auto"/>
              <w:jc w:val="both"/>
              <w:rPr>
                <w:rFonts w:ascii="Times New Roman" w:eastAsia="Times New Roman" w:hAnsi="Times New Roman" w:cs="Times New Roman"/>
                <w:sz w:val="24"/>
                <w:lang w:eastAsia="ru-RU"/>
              </w:rPr>
            </w:pPr>
            <w:bookmarkStart w:id="9" w:name="_Toc351559257"/>
            <w:bookmarkStart w:id="10" w:name="_Toc351559891"/>
            <w:r w:rsidRPr="001A48F9">
              <w:rPr>
                <w:rFonts w:ascii="Times New Roman" w:eastAsia="Times New Roman" w:hAnsi="Times New Roman" w:cs="Times New Roman"/>
                <w:sz w:val="24"/>
                <w:lang w:eastAsia="ru-RU"/>
              </w:rPr>
              <w:t>для Общества, балансовая стоимость активов которого на дату окончания отчетного периода (квартала, года), предшествующего одобрению сделки Советом директоров Общества, а если такая сделка Советом директоров Общества до ее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w:t>
            </w:r>
            <w:proofErr w:type="gramStart"/>
            <w:r w:rsidRPr="001A48F9">
              <w:rPr>
                <w:rFonts w:ascii="Times New Roman" w:eastAsia="Times New Roman" w:hAnsi="Times New Roman" w:cs="Times New Roman"/>
                <w:sz w:val="24"/>
                <w:lang w:eastAsia="ru-RU"/>
              </w:rPr>
              <w:t xml:space="preserve">финансовой) </w:t>
            </w:r>
            <w:proofErr w:type="gramEnd"/>
            <w:r w:rsidRPr="001A48F9">
              <w:rPr>
                <w:rFonts w:ascii="Times New Roman" w:eastAsia="Times New Roman" w:hAnsi="Times New Roman" w:cs="Times New Roman"/>
                <w:sz w:val="24"/>
                <w:lang w:eastAsia="ru-RU"/>
              </w:rPr>
              <w:t>отчетности, превышает 100 млрд. рублей, - 1 или более процента балансовой стоимости активов Общества на указанную дату;</w:t>
            </w:r>
            <w:bookmarkEnd w:id="9"/>
            <w:bookmarkEnd w:id="10"/>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об изменении состава и (или) размера предмета залога по облигациям Общества с залоговым обеспечением, а в случае изменения состава и (или) размера предмета залога по облигациям Общества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w:t>
            </w:r>
            <w:proofErr w:type="gramEnd"/>
            <w:r w:rsidRPr="001A48F9">
              <w:rPr>
                <w:rFonts w:ascii="Times New Roman" w:eastAsia="Times New Roman" w:hAnsi="Times New Roman" w:cs="Times New Roman"/>
                <w:sz w:val="24"/>
                <w:lang w:eastAsia="ru-RU"/>
              </w:rPr>
              <w:t xml:space="preserve"> или более процентов от размера ипотечного покрытия облигаций;</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об изменении стоимости активов лица, предоставившего обеспечение по облигациям Общества, которое составляет 10 или более процентов, или об ином существенном, по мнению Общества, изменении финансово-хозяйственного положения такого лица;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w:t>
            </w:r>
            <w:proofErr w:type="gramEnd"/>
            <w:r w:rsidRPr="001A48F9">
              <w:rPr>
                <w:rFonts w:ascii="Times New Roman" w:eastAsia="Times New Roman" w:hAnsi="Times New Roman" w:cs="Times New Roman"/>
                <w:sz w:val="24"/>
                <w:lang w:eastAsia="ru-RU"/>
              </w:rPr>
              <w:t xml:space="preserve"> </w:t>
            </w:r>
            <w:proofErr w:type="gramStart"/>
            <w:r w:rsidRPr="001A48F9">
              <w:rPr>
                <w:rFonts w:ascii="Times New Roman" w:eastAsia="Times New Roman" w:hAnsi="Times New Roman" w:cs="Times New Roman"/>
                <w:sz w:val="24"/>
                <w:lang w:eastAsia="ru-RU"/>
              </w:rPr>
              <w:t>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w:t>
            </w:r>
            <w:proofErr w:type="gramEnd"/>
            <w:r w:rsidRPr="001A48F9">
              <w:rPr>
                <w:rFonts w:ascii="Times New Roman" w:eastAsia="Times New Roman" w:hAnsi="Times New Roman" w:cs="Times New Roman"/>
                <w:sz w:val="24"/>
                <w:lang w:eastAsia="ru-RU"/>
              </w:rPr>
              <w:t xml:space="preserve"> голосующие акции (доли), составляющие уставный капитал такой организации;</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Общества, распоряжаться определенным количеством</w:t>
            </w:r>
            <w:proofErr w:type="gramEnd"/>
            <w:r w:rsidRPr="001A48F9">
              <w:rPr>
                <w:rFonts w:ascii="Times New Roman" w:eastAsia="Times New Roman" w:hAnsi="Times New Roman" w:cs="Times New Roman"/>
                <w:sz w:val="24"/>
                <w:lang w:eastAsia="ru-RU"/>
              </w:rPr>
              <w:t xml:space="preserve"> голосов, приходящихся на голосующие акции (доли), составляющие уставный капитал такой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заключении Обществом, контролирующим его лицом или подконтрольной Обществу организацией договора, предусматривающего обязанность приобретать эмиссионные ценные бумаги указанного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Общества на осуществление определенной деятельности, имеющей для указанного Общества существенное финансово-хозяйственное значение;</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об истечении срока полномочий единоличного исполнительного органа и (или) членов коллегиального исполнительного органа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об изменении размера доли участия в уставном капитале Общества и подконтрольных Обществу организаций, имеющих для него существенное значение:</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3"/>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лиц, являющихся членами Совета директоров, членами коллегиального исполнительного органа Общества, а также лица, занимающего должность (осуществляющего функции) единоличного исполнительного органа Общества;</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3"/>
              </w:numPr>
              <w:spacing w:after="0" w:line="240" w:lineRule="auto"/>
              <w:jc w:val="both"/>
              <w:rPr>
                <w:rFonts w:ascii="Times New Roman" w:eastAsia="Times New Roman" w:hAnsi="Times New Roman" w:cs="Times New Roman"/>
                <w:bCs/>
                <w:sz w:val="24"/>
                <w:szCs w:val="24"/>
                <w:lang w:eastAsia="ru-RU"/>
              </w:rPr>
            </w:pPr>
            <w:r w:rsidRPr="001A48F9">
              <w:rPr>
                <w:rFonts w:ascii="Times New Roman" w:eastAsia="Times New Roman" w:hAnsi="Times New Roman" w:cs="Times New Roman"/>
                <w:sz w:val="24"/>
                <w:szCs w:val="24"/>
                <w:lang w:eastAsia="ru-RU"/>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Общества переданы управляющей организации;</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привлечении или замене организаций, оказывающих Обществу услуги посредника при исполнении Обществом обязательств по облигациям или иным эмиссионным ценным бумагам Общества, с указанием их наименований, мест нахождения и размеров вознаграждений за оказываемые услуги, а также об изменении указанных сведений;</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споре, связанном с созданием Общества, управлением им или участием в нем, если решение по указанному спору может оказать существенное влияние на цену эмиссионных ценных бумаг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предъявлении лицу, предоставившему обеспечение по облигациям Общества, требований, связанных с исполнением обязательств по таким облигациям;</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о приобретении (об отчуждении) голосующих акций Общества или ценных бумаг иностранного эмитента, удостоверяющих права в отношении голосующих акций Общества, Обществом и (или) подконтрольными Обществу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Обществом и (или) подконтрольной ему организацией;</w:t>
            </w:r>
            <w:proofErr w:type="gramEnd"/>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информация, направляемая или предоставляемая Обществом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Общества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w:t>
            </w:r>
            <w:proofErr w:type="gramEnd"/>
            <w:r w:rsidRPr="001A48F9">
              <w:rPr>
                <w:rFonts w:ascii="Times New Roman" w:eastAsia="Times New Roman" w:hAnsi="Times New Roman" w:cs="Times New Roman"/>
                <w:sz w:val="24"/>
                <w:lang w:eastAsia="ru-RU"/>
              </w:rPr>
              <w:t xml:space="preserve"> эмитента, если такая информация может оказать существенное влияние на цену эмиссионных ценных бумаг эмитента;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bookmarkStart w:id="11" w:name="_Toc351559258"/>
            <w:bookmarkStart w:id="12" w:name="_Toc351559892"/>
            <w:r w:rsidRPr="001A48F9">
              <w:rPr>
                <w:rFonts w:ascii="Times New Roman" w:eastAsia="Times New Roman" w:hAnsi="Times New Roman" w:cs="Times New Roman"/>
                <w:sz w:val="24"/>
                <w:lang w:eastAsia="ru-RU"/>
              </w:rPr>
              <w:t>составляющая годовую или промежуточную (квартальную) бухгалтерскую (финансовую) отчетность Общества, в том числе его годовую или промежуточную сводную бухгалтерскую (консолидированную финансовую) отчетность, а также содержащаяся в аудиторском заключении, подготовленном в отношении указанной отчетности;</w:t>
            </w:r>
            <w:bookmarkEnd w:id="11"/>
            <w:bookmarkEnd w:id="12"/>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составляющая условия размещения эмиссионных ценных бумаг, определенные утвержденным уполномоченным органом Общества решением о выпуске (дополнительном выпуске) ценных бумаг, в случае:</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4"/>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размещения ценных бумаг на торгах, проводимых организатором торговли на рынке ценных бумаг;</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4"/>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proofErr w:type="gramStart"/>
            <w:r w:rsidRPr="001A48F9">
              <w:rPr>
                <w:rFonts w:ascii="Times New Roman" w:eastAsia="Times New Roman" w:hAnsi="Times New Roman" w:cs="Times New Roman"/>
                <w:sz w:val="24"/>
                <w:lang w:eastAsia="ru-RU"/>
              </w:rPr>
              <w:t>содержащаяся</w:t>
            </w:r>
            <w:proofErr w:type="gramEnd"/>
            <w:r w:rsidRPr="001A48F9">
              <w:rPr>
                <w:rFonts w:ascii="Times New Roman" w:eastAsia="Times New Roman" w:hAnsi="Times New Roman" w:cs="Times New Roman"/>
                <w:sz w:val="24"/>
                <w:lang w:eastAsia="ru-RU"/>
              </w:rPr>
              <w:t xml:space="preserve"> в утвержденном уполномоченным органом Общества отчете (уведомлении) об итогах выпуска эмиссионных ценных бумаг в случае:</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5"/>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размещения ценных бумаг на торгах, проводимых организатором торговли на рынке ценных бумаг;</w:t>
            </w:r>
          </w:p>
        </w:tc>
      </w:tr>
      <w:tr w:rsidR="001A48F9" w:rsidRPr="001A48F9" w:rsidTr="00E90213">
        <w:tc>
          <w:tcPr>
            <w:tcW w:w="768" w:type="dxa"/>
          </w:tcPr>
          <w:p w:rsidR="001A48F9" w:rsidRPr="001A48F9" w:rsidRDefault="001A48F9" w:rsidP="001A48F9">
            <w:pPr>
              <w:numPr>
                <w:ilvl w:val="1"/>
                <w:numId w:val="1"/>
              </w:numPr>
              <w:tabs>
                <w:tab w:val="left" w:pos="142"/>
              </w:tabs>
              <w:spacing w:after="0" w:line="240" w:lineRule="auto"/>
              <w:ind w:left="284" w:hanging="284"/>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numPr>
                <w:ilvl w:val="0"/>
                <w:numId w:val="5"/>
              </w:numPr>
              <w:spacing w:after="0" w:line="240" w:lineRule="auto"/>
              <w:jc w:val="both"/>
              <w:rPr>
                <w:rFonts w:ascii="Times New Roman" w:eastAsia="Times New Roman" w:hAnsi="Times New Roman" w:cs="Times New Roman"/>
                <w:bCs/>
                <w:color w:val="000000"/>
                <w:sz w:val="24"/>
                <w:szCs w:val="24"/>
                <w:lang w:eastAsia="ru-RU"/>
              </w:rPr>
            </w:pPr>
            <w:r w:rsidRPr="001A48F9">
              <w:rPr>
                <w:rFonts w:ascii="Times New Roman" w:eastAsia="Times New Roman" w:hAnsi="Times New Roman" w:cs="Times New Roman"/>
                <w:color w:val="000000"/>
                <w:sz w:val="24"/>
                <w:szCs w:val="24"/>
                <w:lang w:eastAsia="ru-RU"/>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color w:val="000000"/>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содержащаяся в утвержденном уполномоченным органом Общества проспекте ценных бумаг,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содержащаяся в подписанных уполномоченными лицами Общества ежеквартальных отчетах,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содержащаяся в подписанных уполномоченными лицами Общества годовых отчетах Общества,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bookmarkStart w:id="13" w:name="_Toc351559259"/>
            <w:bookmarkStart w:id="14" w:name="_Toc351559893"/>
            <w:r w:rsidRPr="001A48F9">
              <w:rPr>
                <w:rFonts w:ascii="Times New Roman" w:eastAsia="Times New Roman" w:hAnsi="Times New Roman" w:cs="Times New Roman"/>
                <w:sz w:val="24"/>
                <w:lang w:eastAsia="ru-RU"/>
              </w:rPr>
              <w:t>о содержании документов стратегического планирования и Стратегии Общества, а также о заключении Обществом договора о стратегическом партнерстве или иного договора, не предусмотренного подпунктами 20, 21, 23, 30, 32, 37 настоящего пункта, если заключение таких договоров может оказать существенное влияние на цену эмиссионных ценных бумаг Общества;</w:t>
            </w:r>
            <w:bookmarkEnd w:id="13"/>
            <w:bookmarkEnd w:id="14"/>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о фактах существенных изменений стоимости активов и обязательств Общества</w:t>
            </w:r>
          </w:p>
        </w:tc>
      </w:tr>
      <w:tr w:rsidR="001A48F9" w:rsidRPr="001A48F9" w:rsidTr="00E90213">
        <w:tc>
          <w:tcPr>
            <w:tcW w:w="768" w:type="dxa"/>
          </w:tcPr>
          <w:p w:rsidR="001A48F9" w:rsidRPr="001A48F9" w:rsidRDefault="001A48F9" w:rsidP="001A48F9">
            <w:pPr>
              <w:numPr>
                <w:ilvl w:val="0"/>
                <w:numId w:val="1"/>
              </w:numPr>
              <w:tabs>
                <w:tab w:val="left" w:pos="142"/>
              </w:tabs>
              <w:spacing w:after="0" w:line="240" w:lineRule="auto"/>
              <w:ind w:left="284" w:hanging="284"/>
              <w:jc w:val="both"/>
              <w:rPr>
                <w:rFonts w:ascii="Times New Roman" w:eastAsia="Times New Roman" w:hAnsi="Times New Roman" w:cs="Times New Roman"/>
                <w:bCs/>
                <w:sz w:val="24"/>
                <w:szCs w:val="24"/>
                <w:lang w:eastAsia="ru-RU"/>
              </w:rPr>
            </w:pPr>
          </w:p>
        </w:tc>
        <w:tc>
          <w:tcPr>
            <w:tcW w:w="8979" w:type="dxa"/>
          </w:tcPr>
          <w:p w:rsidR="001A48F9" w:rsidRPr="001A48F9" w:rsidRDefault="001A48F9" w:rsidP="001A48F9">
            <w:pPr>
              <w:spacing w:after="0" w:line="240" w:lineRule="auto"/>
              <w:jc w:val="both"/>
              <w:rPr>
                <w:rFonts w:ascii="Times New Roman" w:eastAsia="Times New Roman" w:hAnsi="Times New Roman" w:cs="Times New Roman"/>
                <w:sz w:val="24"/>
                <w:lang w:eastAsia="ru-RU"/>
              </w:rPr>
            </w:pPr>
            <w:bookmarkStart w:id="15" w:name="_Toc351559260"/>
            <w:bookmarkStart w:id="16" w:name="_Toc351559894"/>
            <w:r w:rsidRPr="001A48F9">
              <w:rPr>
                <w:rFonts w:ascii="Times New Roman" w:eastAsia="Times New Roman" w:hAnsi="Times New Roman" w:cs="Times New Roman"/>
                <w:sz w:val="24"/>
                <w:lang w:eastAsia="ru-RU"/>
              </w:rPr>
              <w:t>иная не раскрытая информация, которая касается Общества или ценных бумаг Общества, является точной и конкретной, будучи раскрытой, с большей долей вероятности повлияет на стоимость ценных бумаг Общества, в том числе:</w:t>
            </w:r>
            <w:bookmarkEnd w:id="15"/>
            <w:bookmarkEnd w:id="16"/>
          </w:p>
          <w:p w:rsidR="001A48F9" w:rsidRPr="001A48F9" w:rsidRDefault="001A48F9" w:rsidP="001A48F9">
            <w:pPr>
              <w:numPr>
                <w:ilvl w:val="0"/>
                <w:numId w:val="8"/>
              </w:numPr>
              <w:spacing w:after="0" w:line="240" w:lineRule="auto"/>
              <w:jc w:val="both"/>
              <w:rPr>
                <w:rFonts w:ascii="Times New Roman" w:eastAsia="Times New Roman" w:hAnsi="Times New Roman" w:cs="Times New Roman"/>
                <w:sz w:val="24"/>
                <w:lang w:eastAsia="ru-RU"/>
              </w:rPr>
            </w:pPr>
            <w:bookmarkStart w:id="17" w:name="_Toc351559261"/>
            <w:bookmarkStart w:id="18" w:name="_Toc351559895"/>
            <w:bookmarkStart w:id="19" w:name="_Toc351559262"/>
            <w:bookmarkStart w:id="20" w:name="_Toc351559896"/>
            <w:r w:rsidRPr="001A48F9">
              <w:rPr>
                <w:rFonts w:ascii="Times New Roman" w:eastAsia="Times New Roman" w:hAnsi="Times New Roman" w:cs="Times New Roman"/>
                <w:sz w:val="24"/>
                <w:lang w:eastAsia="ru-RU"/>
              </w:rPr>
              <w:t>существенные финансовые сведения, например, промежуточные финансовые результаты деятельности Общества;</w:t>
            </w:r>
            <w:bookmarkEnd w:id="17"/>
            <w:bookmarkEnd w:id="18"/>
          </w:p>
          <w:p w:rsidR="001A48F9" w:rsidRPr="001A48F9" w:rsidRDefault="001A48F9" w:rsidP="001A48F9">
            <w:pPr>
              <w:numPr>
                <w:ilvl w:val="0"/>
                <w:numId w:val="8"/>
              </w:num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информация о решениях (в том числе потенциальных или планируемых решениях) органов государственной власти в отношении тарифов за услуги по распределению электрической энергии и в отношении согласования инвестиционных программ (или их проектов) Общества;</w:t>
            </w:r>
          </w:p>
          <w:p w:rsidR="001A48F9" w:rsidRPr="001A48F9" w:rsidRDefault="001A48F9" w:rsidP="001A48F9">
            <w:pPr>
              <w:numPr>
                <w:ilvl w:val="0"/>
                <w:numId w:val="8"/>
              </w:num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информация о готовящихся сделках по слиянию или поглощению, приобретению и отчуждению акций и иных существенных активов;</w:t>
            </w:r>
          </w:p>
          <w:p w:rsidR="001A48F9" w:rsidRPr="001A48F9" w:rsidRDefault="001A48F9" w:rsidP="001A48F9">
            <w:pPr>
              <w:numPr>
                <w:ilvl w:val="0"/>
                <w:numId w:val="8"/>
              </w:num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 xml:space="preserve">ключевые изменения организационной структуры или органов управления Общества, включая изменение в составе органов управления Общества, назначение/увольнение Генерального директора Общества и заместителя Генерального директора Общества, курирующего финансы, </w:t>
            </w:r>
          </w:p>
          <w:p w:rsidR="001A48F9" w:rsidRPr="001A48F9" w:rsidRDefault="001A48F9" w:rsidP="001A48F9">
            <w:pPr>
              <w:numPr>
                <w:ilvl w:val="0"/>
                <w:numId w:val="8"/>
              </w:numPr>
              <w:spacing w:after="0" w:line="240" w:lineRule="auto"/>
              <w:jc w:val="both"/>
              <w:rPr>
                <w:rFonts w:ascii="Times New Roman" w:eastAsia="Times New Roman" w:hAnsi="Times New Roman" w:cs="Times New Roman"/>
                <w:sz w:val="24"/>
                <w:lang w:eastAsia="ru-RU"/>
              </w:rPr>
            </w:pPr>
            <w:bookmarkStart w:id="21" w:name="_Toc351559266"/>
            <w:bookmarkStart w:id="22" w:name="_Toc351559900"/>
            <w:r w:rsidRPr="001A48F9">
              <w:rPr>
                <w:rFonts w:ascii="Times New Roman" w:eastAsia="Times New Roman" w:hAnsi="Times New Roman" w:cs="Times New Roman"/>
                <w:sz w:val="24"/>
                <w:lang w:eastAsia="ru-RU"/>
              </w:rPr>
              <w:t>назначение/увольнение Генерального директора;</w:t>
            </w:r>
            <w:bookmarkEnd w:id="21"/>
            <w:bookmarkEnd w:id="22"/>
          </w:p>
          <w:p w:rsidR="001A48F9" w:rsidRPr="001A48F9" w:rsidRDefault="001A48F9" w:rsidP="001A48F9">
            <w:pPr>
              <w:numPr>
                <w:ilvl w:val="0"/>
                <w:numId w:val="8"/>
              </w:numPr>
              <w:spacing w:after="0" w:line="240" w:lineRule="auto"/>
              <w:jc w:val="both"/>
              <w:rPr>
                <w:rFonts w:ascii="Times New Roman" w:eastAsia="Times New Roman" w:hAnsi="Times New Roman" w:cs="Times New Roman"/>
                <w:sz w:val="24"/>
                <w:lang w:eastAsia="ru-RU"/>
              </w:rPr>
            </w:pPr>
            <w:r w:rsidRPr="001A48F9">
              <w:rPr>
                <w:rFonts w:ascii="Times New Roman" w:eastAsia="Times New Roman" w:hAnsi="Times New Roman" w:cs="Times New Roman"/>
                <w:sz w:val="24"/>
                <w:lang w:eastAsia="ru-RU"/>
              </w:rPr>
              <w:t>информация о сделках с акциями Общества, совершаемых членами Совета директоров и Правления Общества.</w:t>
            </w:r>
            <w:bookmarkStart w:id="23" w:name="_Toc351559265"/>
            <w:bookmarkStart w:id="24" w:name="_Toc351559899"/>
            <w:bookmarkEnd w:id="19"/>
            <w:bookmarkEnd w:id="20"/>
            <w:r w:rsidRPr="001A48F9">
              <w:rPr>
                <w:rFonts w:ascii="Times New Roman" w:eastAsia="Times New Roman" w:hAnsi="Times New Roman" w:cs="Times New Roman"/>
                <w:sz w:val="24"/>
                <w:lang w:eastAsia="ru-RU"/>
              </w:rPr>
              <w:t xml:space="preserve"> </w:t>
            </w:r>
            <w:bookmarkEnd w:id="23"/>
            <w:bookmarkEnd w:id="24"/>
          </w:p>
        </w:tc>
      </w:tr>
    </w:tbl>
    <w:p w:rsidR="001A48F9" w:rsidRPr="001A48F9" w:rsidRDefault="001A48F9" w:rsidP="001A48F9">
      <w:pPr>
        <w:spacing w:after="0" w:line="240" w:lineRule="auto"/>
        <w:jc w:val="both"/>
        <w:rPr>
          <w:rFonts w:ascii="Times New Roman" w:eastAsia="Times New Roman" w:hAnsi="Times New Roman" w:cs="Times New Roman"/>
          <w:color w:val="000000"/>
          <w:sz w:val="26"/>
          <w:szCs w:val="26"/>
          <w:lang w:eastAsia="ru-RU"/>
        </w:rPr>
      </w:pPr>
    </w:p>
    <w:p w:rsidR="001A48F9" w:rsidRPr="001A48F9" w:rsidRDefault="001A48F9" w:rsidP="001A48F9">
      <w:pPr>
        <w:spacing w:after="0" w:line="240" w:lineRule="auto"/>
        <w:ind w:firstLine="709"/>
        <w:jc w:val="both"/>
        <w:rPr>
          <w:rFonts w:ascii="Times New Roman" w:eastAsia="Times New Roman" w:hAnsi="Times New Roman" w:cs="Times New Roman"/>
          <w:color w:val="000000"/>
          <w:sz w:val="26"/>
          <w:szCs w:val="26"/>
          <w:lang w:eastAsia="ru-RU"/>
        </w:rPr>
      </w:pPr>
      <w:r w:rsidRPr="001A48F9">
        <w:rPr>
          <w:rFonts w:ascii="Times New Roman" w:eastAsia="Times New Roman" w:hAnsi="Times New Roman" w:cs="Times New Roman"/>
          <w:color w:val="000000"/>
          <w:sz w:val="26"/>
          <w:szCs w:val="26"/>
          <w:lang w:eastAsia="ru-RU"/>
        </w:rPr>
        <w:t xml:space="preserve">Информация о размещаемых Обществом эмиссионных ценных бумагах, предусмотренная пунктами 13 – 16 настоящего Перечня, относится к инсайдерской информации Общества в случае, если: </w:t>
      </w:r>
    </w:p>
    <w:p w:rsidR="001A48F9" w:rsidRPr="001A48F9" w:rsidRDefault="001A48F9" w:rsidP="001A48F9">
      <w:pPr>
        <w:widowControl w:val="0"/>
        <w:numPr>
          <w:ilvl w:val="0"/>
          <w:numId w:val="6"/>
        </w:numPr>
        <w:autoSpaceDE w:val="0"/>
        <w:autoSpaceDN w:val="0"/>
        <w:adjustRightInd w:val="0"/>
        <w:spacing w:after="0" w:line="240" w:lineRule="auto"/>
        <w:ind w:right="49"/>
        <w:jc w:val="both"/>
        <w:rPr>
          <w:rFonts w:ascii="Times New Roman" w:eastAsia="Times New Roman" w:hAnsi="Times New Roman" w:cs="Times New Roman"/>
          <w:sz w:val="26"/>
          <w:szCs w:val="26"/>
          <w:lang w:eastAsia="ru-RU"/>
        </w:rPr>
      </w:pPr>
      <w:r w:rsidRPr="001A48F9">
        <w:rPr>
          <w:rFonts w:ascii="Times New Roman" w:eastAsia="Times New Roman" w:hAnsi="Times New Roman" w:cs="Times New Roman"/>
          <w:sz w:val="26"/>
          <w:szCs w:val="26"/>
          <w:lang w:eastAsia="ru-RU"/>
        </w:rPr>
        <w:t>размещение эмиссионных ценных бумаг Общества осуществляется на торгах, проводимых организатором торговли на рынке ценных бумаг;</w:t>
      </w:r>
    </w:p>
    <w:p w:rsidR="001A48F9" w:rsidRPr="001A48F9" w:rsidRDefault="001A48F9" w:rsidP="001A48F9">
      <w:pPr>
        <w:widowControl w:val="0"/>
        <w:numPr>
          <w:ilvl w:val="0"/>
          <w:numId w:val="6"/>
        </w:numPr>
        <w:autoSpaceDE w:val="0"/>
        <w:autoSpaceDN w:val="0"/>
        <w:adjustRightInd w:val="0"/>
        <w:spacing w:after="0" w:line="240" w:lineRule="auto"/>
        <w:ind w:right="49"/>
        <w:jc w:val="both"/>
        <w:rPr>
          <w:rFonts w:ascii="Times New Roman" w:eastAsia="Times New Roman" w:hAnsi="Times New Roman" w:cs="Times New Roman"/>
          <w:sz w:val="26"/>
          <w:szCs w:val="26"/>
          <w:lang w:eastAsia="ru-RU"/>
        </w:rPr>
      </w:pPr>
      <w:r w:rsidRPr="001A48F9">
        <w:rPr>
          <w:rFonts w:ascii="Times New Roman" w:eastAsia="Times New Roman" w:hAnsi="Times New Roman" w:cs="Times New Roman"/>
          <w:sz w:val="26"/>
          <w:szCs w:val="26"/>
          <w:lang w:eastAsia="ru-RU"/>
        </w:rPr>
        <w:t xml:space="preserve">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торгам на организаторе торговли на рынке ценных бумаг или в отношении которых подана заявка о допуске к торгам на организаторе торговли на рынке ценных бумаг. </w:t>
      </w:r>
    </w:p>
    <w:p w:rsidR="001A48F9" w:rsidRPr="001A48F9" w:rsidRDefault="001A48F9" w:rsidP="001A48F9">
      <w:pPr>
        <w:spacing w:after="0" w:line="240" w:lineRule="auto"/>
        <w:ind w:firstLine="709"/>
        <w:jc w:val="both"/>
        <w:rPr>
          <w:rFonts w:ascii="Times New Roman" w:eastAsia="Times New Roman" w:hAnsi="Times New Roman" w:cs="Times New Roman"/>
          <w:sz w:val="26"/>
          <w:szCs w:val="26"/>
          <w:lang w:eastAsia="ru-RU"/>
        </w:rPr>
      </w:pPr>
      <w:proofErr w:type="gramStart"/>
      <w:r w:rsidRPr="001A48F9">
        <w:rPr>
          <w:rFonts w:ascii="Times New Roman" w:eastAsia="Times New Roman" w:hAnsi="Times New Roman" w:cs="Times New Roman"/>
          <w:sz w:val="26"/>
          <w:szCs w:val="26"/>
          <w:lang w:eastAsia="ru-RU"/>
        </w:rPr>
        <w:t xml:space="preserve">Информация о размещенных (находящихся в обращении) эмиссионных ценных бумагах Общества, предусмотренная пунктами 12, 18, 19, 23, 37, 41 настоящего Перечня, относится к инсайдерской информации Общества в случае, если указанные эмиссионные ценные бумаги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 </w:t>
      </w:r>
      <w:proofErr w:type="gramEnd"/>
    </w:p>
    <w:p w:rsidR="001A48F9" w:rsidRPr="001A48F9" w:rsidRDefault="001A48F9" w:rsidP="001A48F9">
      <w:pPr>
        <w:spacing w:after="0" w:line="240" w:lineRule="auto"/>
        <w:ind w:firstLine="709"/>
        <w:jc w:val="both"/>
        <w:rPr>
          <w:rFonts w:ascii="Times New Roman" w:eastAsia="Times New Roman" w:hAnsi="Times New Roman" w:cs="Times New Roman"/>
          <w:sz w:val="26"/>
          <w:szCs w:val="26"/>
          <w:lang w:eastAsia="ru-RU"/>
        </w:rPr>
      </w:pPr>
      <w:proofErr w:type="gramStart"/>
      <w:r w:rsidRPr="001A48F9">
        <w:rPr>
          <w:rFonts w:ascii="Times New Roman" w:eastAsia="Times New Roman" w:hAnsi="Times New Roman" w:cs="Times New Roman"/>
          <w:sz w:val="26"/>
          <w:szCs w:val="26"/>
          <w:lang w:eastAsia="ru-RU"/>
        </w:rPr>
        <w:t>Информация о лице, предоставившем обеспечение по облигациям Общества, а также об условиях такого обеспечения, предусмотренная пунктами 7 – 11, 30, 33, 34, 36, 44 настоящего Перечня, относится к инсайдерской информации Общества в случае, если указанные облигации допущены к торгам на организаторе торговли на рынке ценных бумаг или в отношении них подана заявка о допуске к торгам на организаторе торговли на рынке</w:t>
      </w:r>
      <w:proofErr w:type="gramEnd"/>
      <w:r w:rsidRPr="001A48F9">
        <w:rPr>
          <w:rFonts w:ascii="Times New Roman" w:eastAsia="Times New Roman" w:hAnsi="Times New Roman" w:cs="Times New Roman"/>
          <w:sz w:val="26"/>
          <w:szCs w:val="26"/>
          <w:lang w:eastAsia="ru-RU"/>
        </w:rPr>
        <w:t xml:space="preserve"> ценных бумаг. </w:t>
      </w:r>
    </w:p>
    <w:p w:rsidR="001A48F9" w:rsidRPr="001A48F9" w:rsidRDefault="001A48F9" w:rsidP="001A48F9">
      <w:pPr>
        <w:spacing w:after="0" w:line="240" w:lineRule="auto"/>
        <w:ind w:firstLine="709"/>
        <w:jc w:val="both"/>
        <w:rPr>
          <w:rFonts w:ascii="Times New Roman" w:eastAsia="Times New Roman" w:hAnsi="Times New Roman" w:cs="Times New Roman"/>
          <w:sz w:val="26"/>
          <w:szCs w:val="26"/>
          <w:lang w:eastAsia="ru-RU"/>
        </w:rPr>
      </w:pPr>
      <w:r w:rsidRPr="001A48F9">
        <w:rPr>
          <w:rFonts w:ascii="Times New Roman" w:eastAsia="Times New Roman" w:hAnsi="Times New Roman" w:cs="Times New Roman"/>
          <w:sz w:val="26"/>
          <w:szCs w:val="26"/>
          <w:lang w:eastAsia="ru-RU"/>
        </w:rPr>
        <w:t xml:space="preserve">Если лицом, </w:t>
      </w:r>
      <w:proofErr w:type="gramStart"/>
      <w:r w:rsidRPr="001A48F9">
        <w:rPr>
          <w:rFonts w:ascii="Times New Roman" w:eastAsia="Times New Roman" w:hAnsi="Times New Roman" w:cs="Times New Roman"/>
          <w:sz w:val="26"/>
          <w:szCs w:val="26"/>
          <w:lang w:eastAsia="ru-RU"/>
        </w:rPr>
        <w:t>предоставившем</w:t>
      </w:r>
      <w:proofErr w:type="gramEnd"/>
      <w:r w:rsidRPr="001A48F9">
        <w:rPr>
          <w:rFonts w:ascii="Times New Roman" w:eastAsia="Times New Roman" w:hAnsi="Times New Roman" w:cs="Times New Roman"/>
          <w:sz w:val="26"/>
          <w:szCs w:val="26"/>
          <w:lang w:eastAsia="ru-RU"/>
        </w:rPr>
        <w:t xml:space="preserve"> обеспечение по облигациям Общества, предусмотренным пунктами 7-11, 30, 34 настоящего Перечня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Общества, такая информация не является инсайдерской.</w:t>
      </w:r>
    </w:p>
    <w:p w:rsidR="00BE131E" w:rsidRDefault="001A48F9" w:rsidP="001A48F9">
      <w:r w:rsidRPr="001A48F9">
        <w:rPr>
          <w:rFonts w:ascii="Times New Roman" w:eastAsia="Times New Roman" w:hAnsi="Times New Roman" w:cs="Times New Roman"/>
          <w:bCs/>
          <w:kern w:val="32"/>
          <w:sz w:val="26"/>
          <w:szCs w:val="26"/>
          <w:lang w:eastAsia="x-none"/>
        </w:rPr>
        <w:br w:type="page"/>
      </w:r>
    </w:p>
    <w:sectPr w:rsidR="00BE1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6518"/>
    <w:multiLevelType w:val="hybridMultilevel"/>
    <w:tmpl w:val="1E96AB8C"/>
    <w:lvl w:ilvl="0" w:tplc="FD2C1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DD5350"/>
    <w:multiLevelType w:val="hybridMultilevel"/>
    <w:tmpl w:val="F7CAA7D8"/>
    <w:lvl w:ilvl="0" w:tplc="04190017">
      <w:start w:val="1"/>
      <w:numFmt w:val="lowerLetter"/>
      <w:lvlText w:val="%1)"/>
      <w:lvlJc w:val="left"/>
      <w:pPr>
        <w:ind w:left="360" w:hanging="360"/>
      </w:pPr>
      <w:rPr>
        <w:rFonts w:hint="default"/>
        <w:lang w:val="x-none"/>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
    <w:nsid w:val="41482689"/>
    <w:multiLevelType w:val="hybridMultilevel"/>
    <w:tmpl w:val="227A1D4E"/>
    <w:lvl w:ilvl="0" w:tplc="27A2F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CA14F1"/>
    <w:multiLevelType w:val="hybridMultilevel"/>
    <w:tmpl w:val="4BDED63A"/>
    <w:lvl w:ilvl="0" w:tplc="FD2C1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B15A0B"/>
    <w:multiLevelType w:val="hybridMultilevel"/>
    <w:tmpl w:val="3348D1F2"/>
    <w:lvl w:ilvl="0" w:tplc="27A2F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2613B9"/>
    <w:multiLevelType w:val="multilevel"/>
    <w:tmpl w:val="AB42B436"/>
    <w:lvl w:ilvl="0">
      <w:start w:val="1"/>
      <w:numFmt w:val="decimal"/>
      <w:lvlText w:val="%1."/>
      <w:lvlJc w:val="left"/>
      <w:pPr>
        <w:ind w:left="786"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6EA33305"/>
    <w:multiLevelType w:val="hybridMultilevel"/>
    <w:tmpl w:val="E6062DA4"/>
    <w:lvl w:ilvl="0" w:tplc="27A2F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51698D"/>
    <w:multiLevelType w:val="hybridMultilevel"/>
    <w:tmpl w:val="34ECAF04"/>
    <w:lvl w:ilvl="0" w:tplc="27A2FC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F9"/>
    <w:rsid w:val="001A48F9"/>
    <w:rsid w:val="00BC6249"/>
    <w:rsid w:val="00BE1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3677</Words>
  <Characters>20960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 Ольга Георгиевна</dc:creator>
  <cp:lastModifiedBy>Губченко Олег Владимирович</cp:lastModifiedBy>
  <cp:revision>2</cp:revision>
  <dcterms:created xsi:type="dcterms:W3CDTF">2014-07-04T08:09:00Z</dcterms:created>
  <dcterms:modified xsi:type="dcterms:W3CDTF">2014-07-04T08:09:00Z</dcterms:modified>
</cp:coreProperties>
</file>