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794EB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6749477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7000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62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1D2603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E0109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17 декабря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>дека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927FB3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3335C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Pr="003335CE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3335C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3335C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524A97" w:rsidRPr="003335CE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3335C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Перец Алексей Юрьевич</w:t>
      </w:r>
    </w:p>
    <w:p w:rsidR="00124108" w:rsidRPr="003335CE" w:rsidRDefault="00124108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5CE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3335C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3335CE">
        <w:rPr>
          <w:rFonts w:ascii="Times New Roman" w:hAnsi="Times New Roman"/>
          <w:sz w:val="26"/>
          <w:szCs w:val="26"/>
        </w:rPr>
        <w:t>Сасин</w:t>
      </w:r>
      <w:proofErr w:type="spellEnd"/>
      <w:r w:rsidRPr="003335CE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24108" w:rsidRDefault="0012410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0F1FDA" w:rsidRDefault="000F1FD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1FDA">
        <w:rPr>
          <w:rFonts w:ascii="Times New Roman" w:eastAsia="Times New Roman" w:hAnsi="Times New Roman"/>
          <w:sz w:val="26"/>
          <w:szCs w:val="26"/>
          <w:lang w:eastAsia="ru-RU"/>
        </w:rPr>
        <w:t>Домнич Виталий Анатольевич</w:t>
      </w:r>
    </w:p>
    <w:p w:rsidR="00927FB3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заочном </w:t>
      </w:r>
      <w:r w:rsidR="002C497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голосовании не принимал</w:t>
      </w:r>
      <w:r w:rsidRPr="00927F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участие:</w:t>
      </w:r>
    </w:p>
    <w:p w:rsidR="00927FB3" w:rsidRDefault="00927FB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FB3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DE4175" w:rsidRPr="00C61CF5" w:rsidRDefault="00DE4175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7000F" w:rsidRPr="00853245" w:rsidRDefault="0057000F" w:rsidP="0057000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245"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Pr="00853245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27F3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01.10.2018.</w:t>
      </w:r>
    </w:p>
    <w:p w:rsidR="0057000F" w:rsidRDefault="0057000F" w:rsidP="0057000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245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327F37">
        <w:rPr>
          <w:rFonts w:ascii="Times New Roman" w:eastAsia="Times New Roman" w:hAnsi="Times New Roman"/>
          <w:sz w:val="26"/>
          <w:szCs w:val="26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57000F" w:rsidRDefault="0057000F" w:rsidP="0057000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 </w:t>
      </w:r>
      <w:r w:rsidRPr="00327F3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компенсирующих мероприятий, направленных на устранение и недопущение в будущем нарушений, выявленных комиссией Минэнерго России в ходе проведенных проверок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7000F" w:rsidRDefault="000243D0" w:rsidP="0057000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57000F" w:rsidRPr="00327F37">
        <w:rPr>
          <w:rFonts w:ascii="Times New Roman" w:eastAsia="Times New Roman" w:hAnsi="Times New Roman"/>
          <w:sz w:val="26"/>
          <w:szCs w:val="26"/>
          <w:lang w:eastAsia="ru-RU"/>
        </w:rPr>
        <w:t>Об утверждени</w:t>
      </w:r>
      <w:r w:rsidR="0057000F">
        <w:rPr>
          <w:rFonts w:ascii="Times New Roman" w:eastAsia="Times New Roman" w:hAnsi="Times New Roman"/>
          <w:sz w:val="26"/>
          <w:szCs w:val="26"/>
          <w:lang w:eastAsia="ru-RU"/>
        </w:rPr>
        <w:t xml:space="preserve">и Плана вывода из эксплуатации </w:t>
      </w:r>
      <w:r w:rsidR="0057000F" w:rsidRPr="00327F37">
        <w:rPr>
          <w:rFonts w:ascii="Times New Roman" w:eastAsia="Times New Roman" w:hAnsi="Times New Roman"/>
          <w:sz w:val="26"/>
          <w:szCs w:val="26"/>
          <w:lang w:eastAsia="ru-RU"/>
        </w:rPr>
        <w:t>ПХБ-содержащего оборудования на 2018-2023 годы.</w:t>
      </w:r>
    </w:p>
    <w:p w:rsidR="0057000F" w:rsidRDefault="0057000F" w:rsidP="0057000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327F37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позиции Общества по вопросам повестки дня Общего собрания акционеров АО «Дагестанская сетевая компания».</w:t>
      </w:r>
    </w:p>
    <w:p w:rsidR="0057000F" w:rsidRDefault="000243D0" w:rsidP="000243D0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6. </w:t>
      </w:r>
      <w:r w:rsidR="0057000F" w:rsidRPr="00327F37">
        <w:rPr>
          <w:rFonts w:ascii="Times New Roman" w:eastAsia="Times New Roman" w:hAnsi="Times New Roman"/>
          <w:sz w:val="26"/>
          <w:szCs w:val="26"/>
          <w:lang w:eastAsia="ru-RU"/>
        </w:rPr>
        <w:t>О ходе реализации инвестиционных проектов Общества, включенных в перечень приоритетных объектов, за 3 квартал 2018 года.</w:t>
      </w:r>
    </w:p>
    <w:p w:rsidR="0057000F" w:rsidRPr="00853245" w:rsidRDefault="0057000F" w:rsidP="0057000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Pr="00327F37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Общества о расходовании средств на подготовку и проведение годового Общего собрания акционеров Общества.</w:t>
      </w:r>
    </w:p>
    <w:p w:rsidR="00927FB3" w:rsidRDefault="00927FB3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1EA1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777F5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01.10.2018.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591EA1" w:rsidRPr="00777F55" w:rsidRDefault="00591EA1" w:rsidP="00591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F55">
        <w:rPr>
          <w:rFonts w:ascii="Times New Roman" w:eastAsia="Times New Roman" w:hAnsi="Times New Roman"/>
          <w:sz w:val="26"/>
          <w:szCs w:val="26"/>
          <w:lang w:eastAsia="ru-RU"/>
        </w:rPr>
        <w:t>1. 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01.10.2018, в соответствии с Приложением № 1 к настоящему решению Совета директоров.</w:t>
      </w:r>
    </w:p>
    <w:p w:rsidR="00591EA1" w:rsidRPr="00777F55" w:rsidRDefault="00591EA1" w:rsidP="00591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F55">
        <w:rPr>
          <w:rFonts w:ascii="Times New Roman" w:eastAsia="Times New Roman" w:hAnsi="Times New Roman"/>
          <w:sz w:val="26"/>
          <w:szCs w:val="26"/>
          <w:lang w:eastAsia="ru-RU"/>
        </w:rPr>
        <w:t>2. Принять к сведению отчет Генерального директора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01.07.2018, в соответствии с Приложением № 2 к настоящему решению Совета директоров.</w:t>
      </w:r>
    </w:p>
    <w:p w:rsidR="00591EA1" w:rsidRPr="00777F55" w:rsidRDefault="00591EA1" w:rsidP="00591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F55">
        <w:rPr>
          <w:rFonts w:ascii="Times New Roman" w:eastAsia="Times New Roman" w:hAnsi="Times New Roman"/>
          <w:sz w:val="26"/>
          <w:szCs w:val="26"/>
          <w:lang w:eastAsia="ru-RU"/>
        </w:rPr>
        <w:t>3. Принять к сведению отчет Генерального директора Общества о проведенной работе в отношении вновь образованной просроченной дебиторской задолженности за услуги по передаче электрической энергии в 3 квартале 2018 года в соответствии с Приложением № 3 к настоящему решению Совета директоров.</w:t>
      </w:r>
    </w:p>
    <w:p w:rsidR="00591EA1" w:rsidRPr="00777F55" w:rsidRDefault="00591EA1" w:rsidP="00591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77F55">
        <w:rPr>
          <w:rFonts w:ascii="Times New Roman" w:eastAsia="Times New Roman" w:hAnsi="Times New Roman"/>
          <w:sz w:val="26"/>
          <w:szCs w:val="26"/>
          <w:lang w:eastAsia="ru-RU"/>
        </w:rPr>
        <w:t>4. Принять к сведению отчет Генерального директора Общества по исполнению графика погашения в 2018 году просроченной дебиторской задолженности, сложившейся на 01.01.2018, по состоянию на 01.10.2018 в соответствии с Приложением № 4 к настоящему решению Совета директоров.</w:t>
      </w:r>
    </w:p>
    <w:p w:rsidR="00297B46" w:rsidRPr="00C61CF5" w:rsidRDefault="00297B46" w:rsidP="00297B46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3335CE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="00524A97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r w:rsidR="003335CE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Сергеева О.А.</w:t>
      </w:r>
      <w:r w:rsidR="000F1FD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="00931E34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0F1FD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</w:p>
    <w:p w:rsidR="00931E34" w:rsidRPr="003335CE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931E34"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931E34"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1EA1" w:rsidRPr="00604D5F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777F55">
        <w:rPr>
          <w:rFonts w:ascii="Times New Roman" w:eastAsia="Times New Roman" w:hAnsi="Times New Roman"/>
          <w:sz w:val="26"/>
          <w:szCs w:val="26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591EA1" w:rsidRDefault="00591EA1" w:rsidP="00591EA1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591EA1" w:rsidRDefault="00591EA1" w:rsidP="00591E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F55">
        <w:rPr>
          <w:rFonts w:ascii="Times New Roman" w:hAnsi="Times New Roman"/>
          <w:sz w:val="26"/>
          <w:szCs w:val="26"/>
        </w:rPr>
        <w:t xml:space="preserve">Согласовать кандидатуру </w:t>
      </w:r>
      <w:proofErr w:type="spellStart"/>
      <w:r w:rsidRPr="00777F55">
        <w:rPr>
          <w:rFonts w:ascii="Times New Roman" w:hAnsi="Times New Roman"/>
          <w:sz w:val="26"/>
          <w:szCs w:val="26"/>
        </w:rPr>
        <w:t>Цечоева</w:t>
      </w:r>
      <w:proofErr w:type="spellEnd"/>
      <w:r w:rsidRPr="00777F55">
        <w:rPr>
          <w:rFonts w:ascii="Times New Roman" w:hAnsi="Times New Roman"/>
          <w:sz w:val="26"/>
          <w:szCs w:val="26"/>
        </w:rPr>
        <w:t xml:space="preserve"> Адама </w:t>
      </w:r>
      <w:proofErr w:type="spellStart"/>
      <w:r w:rsidRPr="00777F55">
        <w:rPr>
          <w:rFonts w:ascii="Times New Roman" w:hAnsi="Times New Roman"/>
          <w:sz w:val="26"/>
          <w:szCs w:val="26"/>
        </w:rPr>
        <w:t>Султановича</w:t>
      </w:r>
      <w:proofErr w:type="spellEnd"/>
      <w:r w:rsidRPr="00777F55">
        <w:rPr>
          <w:rFonts w:ascii="Times New Roman" w:hAnsi="Times New Roman"/>
          <w:sz w:val="26"/>
          <w:szCs w:val="26"/>
        </w:rPr>
        <w:t xml:space="preserve"> на должность директора филиала ПАО «МРСК Северного Кавказа» - «</w:t>
      </w:r>
      <w:proofErr w:type="spellStart"/>
      <w:r w:rsidRPr="00777F55">
        <w:rPr>
          <w:rFonts w:ascii="Times New Roman" w:hAnsi="Times New Roman"/>
          <w:sz w:val="26"/>
          <w:szCs w:val="26"/>
        </w:rPr>
        <w:t>Ингушэнерго</w:t>
      </w:r>
      <w:proofErr w:type="spellEnd"/>
      <w:r w:rsidRPr="00777F55">
        <w:rPr>
          <w:rFonts w:ascii="Times New Roman" w:hAnsi="Times New Roman"/>
          <w:sz w:val="26"/>
          <w:szCs w:val="26"/>
        </w:rPr>
        <w:t>».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0F1FDA" w:rsidRPr="003335CE" w:rsidRDefault="000F1FDA" w:rsidP="000F1FDA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</w:p>
    <w:p w:rsidR="000F1FDA" w:rsidRDefault="000F1FDA" w:rsidP="000F1FDA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F1FDA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  <w:r w:rsidR="0016589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6589C" w:rsidRPr="0016589C">
        <w:rPr>
          <w:rFonts w:ascii="Times New Roman" w:eastAsia="Times New Roman" w:hAnsi="Times New Roman"/>
          <w:sz w:val="26"/>
          <w:szCs w:val="26"/>
          <w:lang w:eastAsia="ru-RU"/>
        </w:rPr>
        <w:t>Домнич В.А.</w:t>
      </w:r>
    </w:p>
    <w:p w:rsidR="000F1FDA" w:rsidRPr="00C61CF5" w:rsidRDefault="000F1FDA" w:rsidP="000F1FDA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3F0731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27FB3" w:rsidRPr="00C61CF5" w:rsidRDefault="00927FB3" w:rsidP="00927FB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1EA1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777F5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перечня компенсирующих мероприятий, направленных на устранение и недопущение в будущем нарушений, выявленных комиссией Минэнерго России в ходе проведенных проверок.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lastRenderedPageBreak/>
        <w:t>Решение:</w:t>
      </w:r>
    </w:p>
    <w:p w:rsidR="00591EA1" w:rsidRPr="00777F55" w:rsidRDefault="00591EA1" w:rsidP="00591E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F55">
        <w:rPr>
          <w:rFonts w:ascii="Times New Roman" w:hAnsi="Times New Roman"/>
          <w:sz w:val="26"/>
          <w:szCs w:val="26"/>
        </w:rPr>
        <w:t xml:space="preserve">1. Отметить несвоевременность вынесения на рассмотрение Совета директоров Общества вопроса о рассмотрении результатов выездных проверок и утверждения планов мероприятий по устранению выявленных нарушений. </w:t>
      </w:r>
    </w:p>
    <w:p w:rsidR="00591EA1" w:rsidRPr="00777F55" w:rsidRDefault="00591EA1" w:rsidP="00591E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F55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77F55">
        <w:rPr>
          <w:rFonts w:ascii="Times New Roman" w:hAnsi="Times New Roman"/>
          <w:sz w:val="26"/>
          <w:szCs w:val="26"/>
        </w:rPr>
        <w:t>Поручить Генеральному директору ПАО «МРСК Северного Кавказа» доработать и утвердить ОРД Общества План корректирующих мероприятий по устранению нарушений, выявленных по результатам проверок Минэнерго России, предусмотрев по каждому мероприятию эффекты от реализации, а также исключив из плана пункты, являющиеся требованием исполнения законодательства и ОРД Общества, так как данные мероприятия не являются конкретными мерами, по устранению выявленных нарушений.</w:t>
      </w:r>
      <w:proofErr w:type="gramEnd"/>
    </w:p>
    <w:p w:rsidR="00591EA1" w:rsidRDefault="00591EA1" w:rsidP="00591E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F55">
        <w:rPr>
          <w:rFonts w:ascii="Times New Roman" w:hAnsi="Times New Roman"/>
          <w:sz w:val="26"/>
          <w:szCs w:val="26"/>
        </w:rPr>
        <w:t>Срок – 21.12.2018.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3F0731" w:rsidRPr="003335CE" w:rsidRDefault="003F0731" w:rsidP="003F07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</w:p>
    <w:p w:rsidR="003F0731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F1FDA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3F0731" w:rsidRPr="00C61CF5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27FB3" w:rsidRDefault="00927FB3" w:rsidP="00927FB3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1EA1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вывода из эксплуатации ПХБ-содержащего оборудования на 2018-2023 годы.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591EA1" w:rsidRPr="00414ACB" w:rsidRDefault="00591EA1" w:rsidP="00591EA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414ACB">
        <w:rPr>
          <w:rFonts w:ascii="Times New Roman" w:eastAsia="MS Mincho" w:hAnsi="Times New Roman"/>
          <w:sz w:val="26"/>
          <w:szCs w:val="26"/>
          <w:lang w:eastAsia="ja-JP"/>
        </w:rPr>
        <w:t xml:space="preserve">1. Утвердить План вывода из эксплуатации ПХБ-содержащего оборудования на 2018-2023 гг. (далее - План) в соответствии с Приложением № 5 к настоящему решению Совета директоров. </w:t>
      </w:r>
    </w:p>
    <w:p w:rsidR="00591EA1" w:rsidRPr="00414ACB" w:rsidRDefault="00591EA1" w:rsidP="00591EA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414ACB">
        <w:rPr>
          <w:rFonts w:ascii="Times New Roman" w:eastAsia="MS Mincho" w:hAnsi="Times New Roman"/>
          <w:sz w:val="26"/>
          <w:szCs w:val="26"/>
          <w:lang w:eastAsia="ja-JP"/>
        </w:rPr>
        <w:t>2. Поручить Генеральному директору Общества:</w:t>
      </w:r>
    </w:p>
    <w:p w:rsidR="00591EA1" w:rsidRPr="00414ACB" w:rsidRDefault="00591EA1" w:rsidP="00591EA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414ACB">
        <w:rPr>
          <w:rFonts w:ascii="Times New Roman" w:eastAsia="MS Mincho" w:hAnsi="Times New Roman"/>
          <w:sz w:val="26"/>
          <w:szCs w:val="26"/>
          <w:lang w:eastAsia="ja-JP"/>
        </w:rPr>
        <w:t>2.1. обеспечить реализацию мероприятий Плана в соответствии с указанными в Плане сроками;</w:t>
      </w:r>
    </w:p>
    <w:p w:rsidR="00591EA1" w:rsidRPr="00414ACB" w:rsidRDefault="00591EA1" w:rsidP="00591EA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ACB">
        <w:rPr>
          <w:rFonts w:ascii="Times New Roman" w:eastAsia="MS Mincho" w:hAnsi="Times New Roman"/>
          <w:sz w:val="26"/>
          <w:szCs w:val="26"/>
          <w:lang w:eastAsia="ja-JP"/>
        </w:rPr>
        <w:t>2.2. обеспечить финансирование мероприятий Плана в рамках лимитов затрат, утвержденных бизнес-планом Общества на соответствующий период.</w:t>
      </w:r>
    </w:p>
    <w:p w:rsidR="00591EA1" w:rsidRDefault="00591EA1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577B" w:rsidRPr="003335CE" w:rsidRDefault="0040577B" w:rsidP="0040577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Зайцев Ю.В., Перец А.Ю., Раков А.В., </w:t>
      </w:r>
      <w:proofErr w:type="spellStart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</w:p>
    <w:p w:rsidR="0040577B" w:rsidRPr="003335CE" w:rsidRDefault="0040577B" w:rsidP="0040577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40577B" w:rsidRPr="00C61CF5" w:rsidRDefault="0040577B" w:rsidP="0040577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27FB3" w:rsidRDefault="00927FB3" w:rsidP="00927FB3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1EA1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№5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позиции Общества по вопросам повестки дня Общего собрания акционеров АО «Дагестанская сетевая компания».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591EA1" w:rsidRPr="00414ACB" w:rsidRDefault="00591EA1" w:rsidP="00591EA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1. Поручить представителям Общества на внеочередном Общем собрании акционеров 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 по вопросу повестки дня внеочередного Общего собрания акционеров 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 xml:space="preserve">» </w:t>
      </w:r>
      <w:r w:rsidR="00E75FF1">
        <w:rPr>
          <w:rFonts w:ascii="Times New Roman" w:eastAsia="Courier New" w:hAnsi="Times New Roman"/>
          <w:sz w:val="26"/>
          <w:szCs w:val="26"/>
          <w:lang w:eastAsia="ru-RU"/>
        </w:rPr>
        <w:t xml:space="preserve">   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«О досрочном прекращении полномочий членов Совета директоров 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 голосовать «ЗА» принятие следующего решения:</w:t>
      </w:r>
    </w:p>
    <w:p w:rsidR="00591EA1" w:rsidRPr="00414ACB" w:rsidRDefault="00591EA1" w:rsidP="00591EA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414ACB">
        <w:rPr>
          <w:rFonts w:ascii="Times New Roman" w:eastAsia="Courier New" w:hAnsi="Times New Roman"/>
          <w:sz w:val="26"/>
          <w:szCs w:val="26"/>
          <w:lang w:eastAsia="ru-RU"/>
        </w:rPr>
        <w:t xml:space="preserve">«Досрочно прекратить полномочия членов Совета директоров 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br/>
        <w:t>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».</w:t>
      </w:r>
    </w:p>
    <w:p w:rsidR="00591EA1" w:rsidRPr="00414ACB" w:rsidRDefault="00591EA1" w:rsidP="00591EA1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2. Поручить представителям Общества на внеочередном Общем собрании акционеров 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 по вопросу повестки дня внеочередного Общего собрания акционеров 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 xml:space="preserve">» 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lastRenderedPageBreak/>
        <w:t>«Об избрании членов Совета директоров 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 xml:space="preserve">» голосовать «ЗА» принятие следующего решения:  </w:t>
      </w:r>
    </w:p>
    <w:p w:rsidR="00591EA1" w:rsidRPr="00414ACB" w:rsidRDefault="00591EA1" w:rsidP="00591EA1">
      <w:pPr>
        <w:widowControl w:val="0"/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ourier New" w:hAnsi="Times New Roman"/>
          <w:sz w:val="26"/>
          <w:szCs w:val="26"/>
          <w:lang w:eastAsia="ru-RU"/>
        </w:rPr>
      </w:pP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«Избрать Совет директоров 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 xml:space="preserve">» в составе: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5812"/>
      </w:tblGrid>
      <w:tr w:rsidR="00591EA1" w:rsidRPr="00414ACB" w:rsidTr="00333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A1" w:rsidRPr="00414ACB" w:rsidRDefault="00591EA1" w:rsidP="00B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A1" w:rsidRPr="00414ACB" w:rsidRDefault="00591EA1" w:rsidP="00B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91EA1" w:rsidRPr="00414ACB" w:rsidTr="003335CE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591EA1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14ACB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Кирюхин Сергей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Главный советник ПАО «</w:t>
            </w:r>
            <w:proofErr w:type="spellStart"/>
            <w:r w:rsidRPr="00414ACB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Россети</w:t>
            </w:r>
            <w:proofErr w:type="spellEnd"/>
            <w:r w:rsidRPr="00414ACB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591EA1" w:rsidRPr="00414ACB" w:rsidTr="003335C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Криволапова Марина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3335C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Главный эксперт контрольно-аналитического управления Департамента контрольно-ревизионной деятельности</w:t>
            </w:r>
            <w:r w:rsidR="003335CE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 </w:t>
            </w: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ПАО «</w:t>
            </w:r>
            <w:proofErr w:type="spellStart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1EA1" w:rsidRPr="00414ACB" w:rsidTr="003335CE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  <w:u w:val="single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Чернов Алексей Валерьевич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Заместитель Генерального директора по экономике и финансам ПАО «МРСК Северного Кавказа»</w:t>
            </w:r>
          </w:p>
        </w:tc>
      </w:tr>
      <w:tr w:rsidR="00591EA1" w:rsidRPr="00414ACB" w:rsidTr="00333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  <w:u w:val="single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Шувалов Владимир Владимирович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proofErr w:type="gramStart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 обязанности заместителя Генерального директора по инвестиционной деятельности ПАО «МРСК Северного Кавказа»</w:t>
            </w:r>
          </w:p>
        </w:tc>
      </w:tr>
      <w:tr w:rsidR="00591EA1" w:rsidRPr="00414ACB" w:rsidTr="003335CE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Аликов Константин Батырбекович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Заместитель Генерального директора по реализации и развитию услуг ПАО «МРСК Северного Кавказа»</w:t>
            </w:r>
          </w:p>
        </w:tc>
      </w:tr>
      <w:tr w:rsidR="00591EA1" w:rsidRPr="00414ACB" w:rsidTr="00333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Решетников Михаил</w:t>
            </w:r>
          </w:p>
          <w:p w:rsidR="00591EA1" w:rsidRPr="00414ACB" w:rsidRDefault="00591EA1" w:rsidP="00B202C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Заместитель Генерального директора по корпоративному управлению ПАО «МРСК Северного Кавказа»</w:t>
            </w:r>
          </w:p>
        </w:tc>
      </w:tr>
      <w:tr w:rsidR="00591EA1" w:rsidRPr="00414ACB" w:rsidTr="003335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6"/>
                <w:szCs w:val="26"/>
                <w:u w:val="single"/>
                <w:lang w:eastAsia="ru-RU"/>
              </w:rPr>
            </w:pPr>
            <w:proofErr w:type="spellStart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Гитинасулов</w:t>
            </w:r>
            <w:proofErr w:type="spellEnd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Муртазали</w:t>
            </w:r>
            <w:proofErr w:type="spellEnd"/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 Магомедович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Управляющий директор АО «</w:t>
            </w:r>
            <w:r w:rsidR="00E75FF1" w:rsidRPr="00E75FF1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Дагестанская сетевая компания</w:t>
            </w: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591EA1" w:rsidRPr="00414ACB" w:rsidRDefault="00591EA1" w:rsidP="00591EA1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3. Поручить представителям ПАО «МРСК Северного Кавказа» на внеочередном Общем собрании акционеров 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вопросу повестки дня внеочередного Общего собрания акционеров 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 «О досрочном прекращении полномочий членов Ревизионной комисс</w:t>
      </w:r>
      <w:proofErr w:type="gramStart"/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ии </w:t>
      </w:r>
      <w:r w:rsidR="00E75FF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АО</w:t>
      </w:r>
      <w:proofErr w:type="gramEnd"/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E75FF1" w:rsidRPr="00E75FF1">
        <w:rPr>
          <w:rFonts w:ascii="Times New Roman" w:eastAsia="Times New Roman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» голосовать «ЗА» принятие следующего решения:</w:t>
      </w:r>
    </w:p>
    <w:p w:rsidR="00591EA1" w:rsidRPr="00414ACB" w:rsidRDefault="00591EA1" w:rsidP="00591EA1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«Досрочно прекратить полномочия членов Ревизионной комисс</w:t>
      </w:r>
      <w:proofErr w:type="gramStart"/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ии 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АО</w:t>
      </w:r>
      <w:proofErr w:type="gramEnd"/>
      <w:r w:rsidRPr="00414ACB">
        <w:rPr>
          <w:rFonts w:ascii="Times New Roman" w:eastAsia="Courier New" w:hAnsi="Times New Roman"/>
          <w:sz w:val="26"/>
          <w:szCs w:val="26"/>
          <w:lang w:eastAsia="ru-RU"/>
        </w:rPr>
        <w:t xml:space="preserve">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1EA1" w:rsidRPr="00414ACB" w:rsidRDefault="00591EA1" w:rsidP="00591EA1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4. Поручить представителям ПАО «МРСК Северного Кавказа» на внеочередном Общем собрании акционеров АО «</w:t>
      </w:r>
      <w:r w:rsidR="00E75FF1" w:rsidRPr="00E75FF1">
        <w:rPr>
          <w:rFonts w:ascii="Times New Roman" w:eastAsia="Times New Roman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» по вопросу повестки дня внеочередного Общего собрания акционеров АО «</w:t>
      </w:r>
      <w:r w:rsidR="00E75FF1" w:rsidRPr="00E75FF1">
        <w:rPr>
          <w:rFonts w:ascii="Times New Roman" w:eastAsia="Times New Roman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» «Об избрании членов Ревизионной комисс</w:t>
      </w:r>
      <w:proofErr w:type="gramStart"/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ии АО</w:t>
      </w:r>
      <w:proofErr w:type="gramEnd"/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E75FF1" w:rsidRPr="00E75FF1">
        <w:rPr>
          <w:rFonts w:ascii="Times New Roman" w:eastAsia="Times New Roman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>» голосовать «ЗА» принятие следующего решения:</w:t>
      </w:r>
    </w:p>
    <w:p w:rsidR="00591EA1" w:rsidRPr="00414ACB" w:rsidRDefault="00591EA1" w:rsidP="00591EA1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Избрать Ревизионную комиссию 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АО «</w:t>
      </w:r>
      <w:r w:rsidR="00E75FF1" w:rsidRPr="00E75FF1">
        <w:rPr>
          <w:rFonts w:ascii="Times New Roman" w:eastAsia="Courier New" w:hAnsi="Times New Roman"/>
          <w:sz w:val="26"/>
          <w:szCs w:val="26"/>
          <w:lang w:eastAsia="ru-RU"/>
        </w:rPr>
        <w:t>Дагестанская сетевая компания</w:t>
      </w:r>
      <w:r w:rsidRPr="00414ACB">
        <w:rPr>
          <w:rFonts w:ascii="Times New Roman" w:eastAsia="Courier New" w:hAnsi="Times New Roman"/>
          <w:sz w:val="26"/>
          <w:szCs w:val="26"/>
          <w:lang w:eastAsia="ru-RU"/>
        </w:rPr>
        <w:t>»</w:t>
      </w:r>
      <w:r w:rsidRPr="00414AC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5776"/>
      </w:tblGrid>
      <w:tr w:rsidR="00591EA1" w:rsidRPr="00414ACB" w:rsidTr="003335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A1" w:rsidRPr="00414ACB" w:rsidRDefault="00591EA1" w:rsidP="00B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EA1" w:rsidRPr="00414ACB" w:rsidRDefault="00591EA1" w:rsidP="00B2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</w:tr>
      <w:tr w:rsidR="00591EA1" w:rsidRPr="00414ACB" w:rsidTr="003335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Исхаки Нозим Мухамад-Козимович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t xml:space="preserve">Исполняющий обязанности директора Дирекции внутреннего аудита и контроля </w:t>
            </w:r>
            <w:r w:rsidRPr="00414ACB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br/>
              <w:t>ПАО «МРСК Северного Кавказа»</w:t>
            </w:r>
          </w:p>
        </w:tc>
      </w:tr>
      <w:tr w:rsidR="00591EA1" w:rsidRPr="00414ACB" w:rsidTr="003335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tabs>
                <w:tab w:val="left" w:pos="-10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Щедрин Николай Александрович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tabs>
                <w:tab w:val="left" w:pos="-1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директора Дирекции внутреннего аудита и контроля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«МРСК Северного Кавказа»</w:t>
            </w:r>
          </w:p>
        </w:tc>
      </w:tr>
      <w:tr w:rsidR="00591EA1" w:rsidRPr="00414ACB" w:rsidTr="003335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tabs>
                <w:tab w:val="left" w:pos="-10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Пикалова Татьяна Юрьевна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tabs>
                <w:tab w:val="left" w:pos="-1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специалист Дирекции внутреннего аудита и контроля ПАО «МРСК Северного </w:t>
            </w: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Кавказа»</w:t>
            </w:r>
          </w:p>
        </w:tc>
      </w:tr>
      <w:tr w:rsidR="00591EA1" w:rsidRPr="00414ACB" w:rsidTr="003335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tabs>
                <w:tab w:val="left" w:pos="-10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Акименко Игорь Георгиевич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2" w:rsidRPr="00414ACB" w:rsidRDefault="00591EA1" w:rsidP="003335CE">
            <w:pPr>
              <w:tabs>
                <w:tab w:val="left" w:pos="-1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начальника Департамента безопасности и противодействия коррупции </w:t>
            </w:r>
            <w:r w:rsidR="007F1D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414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ПАО «МРСК Северного Кавказа»</w:t>
            </w:r>
          </w:p>
        </w:tc>
      </w:tr>
      <w:tr w:rsidR="00591EA1" w:rsidRPr="00414ACB" w:rsidTr="003335C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color w:val="000000"/>
                <w:sz w:val="26"/>
                <w:szCs w:val="26"/>
                <w:lang w:eastAsia="ru-RU"/>
              </w:rPr>
              <w:t>Бондарь Андрей Владимирович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A1" w:rsidRPr="00414ACB" w:rsidRDefault="00591EA1" w:rsidP="00B20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Ведущий специалис</w:t>
            </w:r>
            <w:r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 xml:space="preserve">т Дирекции внутреннего аудита и </w:t>
            </w:r>
            <w:r w:rsidRPr="00414ACB">
              <w:rPr>
                <w:rFonts w:ascii="Times New Roman" w:eastAsia="Courier New" w:hAnsi="Times New Roman"/>
                <w:sz w:val="26"/>
                <w:szCs w:val="26"/>
                <w:lang w:eastAsia="ru-RU"/>
              </w:rPr>
              <w:t>контроля ПАО «МРСК Северного Кавказа»</w:t>
            </w:r>
          </w:p>
        </w:tc>
      </w:tr>
    </w:tbl>
    <w:p w:rsidR="00591EA1" w:rsidRPr="008D1931" w:rsidRDefault="00591EA1" w:rsidP="00591EA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40577B" w:rsidRPr="003335CE" w:rsidRDefault="0040577B" w:rsidP="0040577B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Зайцев Ю.В., Перец А.Ю., Раков А.В., </w:t>
      </w:r>
      <w:proofErr w:type="spellStart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</w:p>
    <w:p w:rsidR="0040577B" w:rsidRPr="003335CE" w:rsidRDefault="0040577B" w:rsidP="0040577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40577B" w:rsidRPr="00C61CF5" w:rsidRDefault="0040577B" w:rsidP="0040577B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91EA1" w:rsidRDefault="00591EA1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91EA1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№6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7F1167">
        <w:rPr>
          <w:rFonts w:ascii="Times New Roman" w:eastAsia="Times New Roman" w:hAnsi="Times New Roman"/>
          <w:sz w:val="26"/>
          <w:szCs w:val="26"/>
          <w:lang w:eastAsia="ru-RU"/>
        </w:rPr>
        <w:t>О ходе реализации инвестиционных проектов Общества, включенных в перечень приоритетных объектов, за 3 квартал 2018 года.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591EA1" w:rsidRPr="007F1167" w:rsidRDefault="00591EA1" w:rsidP="00591EA1">
      <w:pPr>
        <w:pStyle w:val="af5"/>
        <w:widowControl w:val="0"/>
        <w:numPr>
          <w:ilvl w:val="0"/>
          <w:numId w:val="2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F11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Принять к сведению отчет Генерального директора Общества о ходе реализации инвестиционных Общества, включенных в перечень приоритетных объектов, за 3 квартал 2018 года в соответствии с Приложением № 6 к настоящему решению Совета директоров.</w:t>
      </w:r>
    </w:p>
    <w:p w:rsidR="00591EA1" w:rsidRPr="007F1167" w:rsidRDefault="00591EA1" w:rsidP="00591EA1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7F11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Единоличному исполнительному органу ПАО «МРСК Северного Кавказа» принять меры и обеспечить в 4 квартале 2018 года устранение допущенных отставаний от укрупненных сетевых графиков приоритетных объектов скорректированной Инвестиционной программы ПАО «МРСК Северного Кавказа» и проинформировать о них на очередном заседании Совета директоров Общества по данному вопросу.</w:t>
      </w:r>
    </w:p>
    <w:p w:rsidR="00591EA1" w:rsidRDefault="00591EA1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731" w:rsidRPr="003335CE" w:rsidRDefault="003F0731" w:rsidP="003F07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</w:p>
    <w:p w:rsidR="003F0731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F1FDA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3F0731" w:rsidRPr="00C61CF5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27FB3" w:rsidRDefault="00927FB3" w:rsidP="00927FB3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1EA1" w:rsidRDefault="00591EA1" w:rsidP="00591EA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7F1167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Общества о расходовании средств на подготовку и проведение годового Общего собрания акционеров Общества.</w:t>
      </w:r>
    </w:p>
    <w:p w:rsidR="00591EA1" w:rsidRDefault="00591EA1" w:rsidP="00591EA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591EA1" w:rsidRPr="007F1167" w:rsidRDefault="00591EA1" w:rsidP="0059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1167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 расходовании средств на подготовку и проведение годового Общего собрания акционеров Общества в соответствии с Приложением № 7 к настоящему решению Совета директоров.</w:t>
      </w:r>
    </w:p>
    <w:p w:rsidR="00591EA1" w:rsidRPr="007F1167" w:rsidRDefault="00591EA1" w:rsidP="00591E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1167">
        <w:rPr>
          <w:rFonts w:ascii="Times New Roman" w:eastAsia="Times New Roman" w:hAnsi="Times New Roman"/>
          <w:sz w:val="26"/>
          <w:szCs w:val="26"/>
          <w:lang w:eastAsia="ru-RU"/>
        </w:rPr>
        <w:t>2. Отметить некачественную подготовку материалов к заседанию Совета директоров Общества.</w:t>
      </w:r>
    </w:p>
    <w:p w:rsidR="00591EA1" w:rsidRDefault="00591EA1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F0731" w:rsidRPr="003335CE" w:rsidRDefault="003F0731" w:rsidP="003F0731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 Гвоздев Д.Б., Гурьянов Д.Л.,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Домнич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В.А.</w:t>
      </w:r>
    </w:p>
    <w:p w:rsidR="003F0731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3335CE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3335C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0F1FDA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</w:p>
    <w:p w:rsidR="003F0731" w:rsidRPr="00C61CF5" w:rsidRDefault="003F0731" w:rsidP="003F0731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3335C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63B52" w:rsidRDefault="00363B52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Pr="00C61CF5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E83BB8" w:rsidRPr="00E83BB8">
        <w:rPr>
          <w:rFonts w:ascii="Times New Roman" w:eastAsia="Times New Roman" w:hAnsi="Times New Roman"/>
          <w:sz w:val="26"/>
          <w:szCs w:val="26"/>
          <w:lang w:eastAsia="ru-RU"/>
        </w:rPr>
        <w:t>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01.10.2018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C61CF5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E83BB8" w:rsidRPr="00E83BB8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01.07.2018</w:t>
      </w:r>
      <w:r w:rsidR="00065C08"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A4784E" w:rsidRPr="00A4784E">
        <w:t xml:space="preserve"> </w:t>
      </w:r>
      <w:r w:rsidR="00591EA1" w:rsidRPr="00591EA1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проведенной работе в отношении вновь образованной просроченной дебиторской задолженности за услуги по передаче электрической энергии в 3 квартале 2018 года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Pr="00C61CF5" w:rsidRDefault="00591EA1" w:rsidP="00591EA1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№4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Pr="00591EA1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по исполнению графика погашения в 2018 году просроченной дебиторской задолженности, сложившейся на 01.01.2018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Pr="00C61CF5" w:rsidRDefault="00591EA1" w:rsidP="00591EA1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№5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– </w:t>
      </w:r>
      <w:r w:rsidRPr="00591EA1">
        <w:rPr>
          <w:rFonts w:ascii="Times New Roman" w:eastAsia="Times New Roman" w:hAnsi="Times New Roman"/>
          <w:sz w:val="26"/>
          <w:szCs w:val="26"/>
          <w:lang w:eastAsia="ru-RU"/>
        </w:rPr>
        <w:t>План вывода из эксплуатации ПХБ-содержащего оборудования на 2018-2023 гг.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Default="00591EA1" w:rsidP="00591EA1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6 -</w:t>
      </w:r>
      <w:r w:rsidRPr="00A4784E">
        <w:t xml:space="preserve"> </w:t>
      </w:r>
      <w:r w:rsidRPr="00591EA1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ходе реализации инвестиционных Общества, включенных в перечень приоритетных объектов, за 3 квартал 2018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91EA1" w:rsidRDefault="00591EA1" w:rsidP="00591EA1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7 -</w:t>
      </w:r>
      <w:r w:rsidRPr="00A4784E">
        <w:t xml:space="preserve"> </w:t>
      </w:r>
      <w:r w:rsidRPr="00591EA1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расходовании средств на подготовку и проведение годового Обще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собрания акционеров Общества*;</w:t>
      </w:r>
    </w:p>
    <w:p w:rsidR="005B6657" w:rsidRPr="00C61CF5" w:rsidRDefault="001D2603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591EA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1D26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6C1832" w:rsidRPr="006C18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C61CF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7092" w:rsidRPr="00C61CF5" w:rsidRDefault="00AD7092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0243D0">
      <w:footerReference w:type="even" r:id="rId11"/>
      <w:footerReference w:type="default" r:id="rId12"/>
      <w:pgSz w:w="11906" w:h="16838"/>
      <w:pgMar w:top="1134" w:right="567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B3" w:rsidRDefault="00794EB3">
      <w:pPr>
        <w:spacing w:after="0" w:line="240" w:lineRule="auto"/>
      </w:pPr>
      <w:r>
        <w:separator/>
      </w:r>
    </w:p>
  </w:endnote>
  <w:endnote w:type="continuationSeparator" w:id="0">
    <w:p w:rsidR="00794EB3" w:rsidRDefault="0079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7B">
          <w:rPr>
            <w:noProof/>
          </w:rPr>
          <w:t>6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B3" w:rsidRDefault="00794EB3">
      <w:pPr>
        <w:spacing w:after="0" w:line="240" w:lineRule="auto"/>
      </w:pPr>
      <w:r>
        <w:separator/>
      </w:r>
    </w:p>
  </w:footnote>
  <w:footnote w:type="continuationSeparator" w:id="0">
    <w:p w:rsidR="00794EB3" w:rsidRDefault="0079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2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1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20"/>
  </w:num>
  <w:num w:numId="11">
    <w:abstractNumId w:val="18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10"/>
  </w:num>
  <w:num w:numId="22">
    <w:abstractNumId w:val="1"/>
  </w:num>
  <w:num w:numId="23">
    <w:abstractNumId w:val="16"/>
  </w:num>
  <w:num w:numId="2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589C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3B52"/>
    <w:rsid w:val="00364027"/>
    <w:rsid w:val="00370262"/>
    <w:rsid w:val="00372CB4"/>
    <w:rsid w:val="00377D47"/>
    <w:rsid w:val="00380903"/>
    <w:rsid w:val="00381DEE"/>
    <w:rsid w:val="00383444"/>
    <w:rsid w:val="00397D5F"/>
    <w:rsid w:val="003A032B"/>
    <w:rsid w:val="003A264F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5980"/>
    <w:rsid w:val="00556A60"/>
    <w:rsid w:val="0056011C"/>
    <w:rsid w:val="005604E4"/>
    <w:rsid w:val="00561683"/>
    <w:rsid w:val="00567168"/>
    <w:rsid w:val="0057000F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94EB3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6C24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5FF1"/>
    <w:rsid w:val="00E76518"/>
    <w:rsid w:val="00E83338"/>
    <w:rsid w:val="00E83BB8"/>
    <w:rsid w:val="00E85BED"/>
    <w:rsid w:val="00E90403"/>
    <w:rsid w:val="00E93347"/>
    <w:rsid w:val="00E96415"/>
    <w:rsid w:val="00EA2A1B"/>
    <w:rsid w:val="00EA311C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2CB9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81958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5AA2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2215-CC03-4BB5-B5FC-ED3B171B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18</cp:revision>
  <cp:lastPrinted>2018-10-01T13:46:00Z</cp:lastPrinted>
  <dcterms:created xsi:type="dcterms:W3CDTF">2018-10-26T13:05:00Z</dcterms:created>
  <dcterms:modified xsi:type="dcterms:W3CDTF">2018-12-19T15:32:00Z</dcterms:modified>
</cp:coreProperties>
</file>