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AD4C" w14:textId="77777777"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14:paraId="6C39EDD6" w14:textId="77777777" w:rsidR="000C0B2F" w:rsidRDefault="000C0B2F" w:rsidP="005453FB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317B3A">
        <w:rPr>
          <w:b/>
          <w:bCs/>
          <w:sz w:val="26"/>
          <w:szCs w:val="26"/>
        </w:rPr>
        <w:t>О</w:t>
      </w:r>
      <w:r w:rsidR="00317B3A" w:rsidRPr="00317B3A">
        <w:rPr>
          <w:b/>
          <w:bCs/>
          <w:sz w:val="26"/>
          <w:szCs w:val="26"/>
        </w:rPr>
        <w:t xml:space="preserve"> </w:t>
      </w:r>
      <w:r w:rsidR="005453FB" w:rsidRPr="005453FB">
        <w:rPr>
          <w:b/>
          <w:bCs/>
          <w:sz w:val="26"/>
          <w:szCs w:val="26"/>
        </w:rPr>
        <w:t>принятии решения о ра</w:t>
      </w:r>
      <w:bookmarkStart w:id="0" w:name="_GoBack"/>
      <w:bookmarkEnd w:id="0"/>
      <w:r w:rsidR="005453FB" w:rsidRPr="005453FB">
        <w:rPr>
          <w:b/>
          <w:bCs/>
          <w:sz w:val="26"/>
          <w:szCs w:val="26"/>
        </w:rPr>
        <w:t xml:space="preserve">змещении ценных бумаг </w:t>
      </w:r>
      <w:r w:rsidR="00B939F9" w:rsidRPr="00B939F9">
        <w:rPr>
          <w:b/>
          <w:bCs/>
          <w:sz w:val="26"/>
          <w:szCs w:val="26"/>
        </w:rPr>
        <w:t>(раскрытие</w:t>
      </w:r>
      <w:r w:rsidR="00317B3A">
        <w:rPr>
          <w:b/>
          <w:bCs/>
          <w:sz w:val="26"/>
          <w:szCs w:val="26"/>
        </w:rPr>
        <w:t xml:space="preserve"> </w:t>
      </w:r>
      <w:r w:rsidR="00B939F9" w:rsidRPr="00B939F9">
        <w:rPr>
          <w:b/>
          <w:bCs/>
          <w:sz w:val="26"/>
          <w:szCs w:val="26"/>
        </w:rPr>
        <w:t>инсайдерской информации)</w:t>
      </w:r>
      <w:r>
        <w:rPr>
          <w:b/>
          <w:bCs/>
          <w:sz w:val="26"/>
          <w:szCs w:val="26"/>
        </w:rPr>
        <w:t>»</w:t>
      </w:r>
    </w:p>
    <w:p w14:paraId="0566118C" w14:textId="77777777"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14:paraId="3E10B5F3" w14:textId="77777777" w:rsidTr="00CC04FD">
        <w:trPr>
          <w:cantSplit/>
        </w:trPr>
        <w:tc>
          <w:tcPr>
            <w:tcW w:w="9979" w:type="dxa"/>
            <w:gridSpan w:val="2"/>
          </w:tcPr>
          <w:p w14:paraId="37BBE36E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14:paraId="278CD5C3" w14:textId="77777777" w:rsidTr="00CC04FD">
        <w:tc>
          <w:tcPr>
            <w:tcW w:w="5557" w:type="dxa"/>
          </w:tcPr>
          <w:p w14:paraId="2220ED97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14:paraId="64478A2D" w14:textId="77777777"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14:paraId="00A5A929" w14:textId="77777777" w:rsidTr="00CC04FD">
        <w:tc>
          <w:tcPr>
            <w:tcW w:w="5557" w:type="dxa"/>
          </w:tcPr>
          <w:p w14:paraId="60F1658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14:paraId="27D0645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14:paraId="489C7B50" w14:textId="77777777" w:rsidTr="00CC04FD">
        <w:tc>
          <w:tcPr>
            <w:tcW w:w="5557" w:type="dxa"/>
          </w:tcPr>
          <w:p w14:paraId="6E5737A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14:paraId="22FFC10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14:paraId="684FEC4A" w14:textId="77777777" w:rsidTr="00CC04FD">
        <w:tc>
          <w:tcPr>
            <w:tcW w:w="5557" w:type="dxa"/>
          </w:tcPr>
          <w:p w14:paraId="36338321" w14:textId="77777777"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14:paraId="713A655F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14:paraId="149EE453" w14:textId="77777777" w:rsidTr="00CC04FD">
        <w:tc>
          <w:tcPr>
            <w:tcW w:w="5557" w:type="dxa"/>
          </w:tcPr>
          <w:p w14:paraId="5D28B99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14:paraId="7E6570A2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14:paraId="2E7CA115" w14:textId="77777777" w:rsidTr="00CC04FD">
        <w:tc>
          <w:tcPr>
            <w:tcW w:w="5557" w:type="dxa"/>
          </w:tcPr>
          <w:p w14:paraId="2EAA062A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14:paraId="4BBB5412" w14:textId="77777777" w:rsidR="000C0B2F" w:rsidRPr="00E158FC" w:rsidRDefault="00A83AA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6C951612" w14:textId="77777777" w:rsidR="000C0B2F" w:rsidRDefault="00A83AA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14:paraId="688A78DD" w14:textId="77777777" w:rsidTr="00CC04FD">
        <w:tc>
          <w:tcPr>
            <w:tcW w:w="5557" w:type="dxa"/>
          </w:tcPr>
          <w:p w14:paraId="7E3C75DF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14:paraId="7082E4A5" w14:textId="77777777" w:rsidR="000C0B2F" w:rsidRDefault="004A25A8" w:rsidP="00900792">
            <w:pPr>
              <w:ind w:left="57" w:right="57"/>
              <w:jc w:val="both"/>
              <w:rPr>
                <w:sz w:val="24"/>
                <w:szCs w:val="24"/>
              </w:rPr>
            </w:pPr>
            <w:r w:rsidRPr="008A5824">
              <w:rPr>
                <w:sz w:val="24"/>
                <w:szCs w:val="24"/>
              </w:rPr>
              <w:t>1</w:t>
            </w:r>
            <w:r w:rsidR="00900792" w:rsidRPr="008A5824">
              <w:rPr>
                <w:sz w:val="24"/>
                <w:szCs w:val="24"/>
              </w:rPr>
              <w:t>9</w:t>
            </w:r>
            <w:r w:rsidR="000C0B2F" w:rsidRPr="008A5824">
              <w:rPr>
                <w:sz w:val="24"/>
                <w:szCs w:val="24"/>
              </w:rPr>
              <w:t>.</w:t>
            </w:r>
            <w:r w:rsidR="00D955DF" w:rsidRPr="008A5824">
              <w:rPr>
                <w:sz w:val="24"/>
                <w:szCs w:val="24"/>
              </w:rPr>
              <w:t>0</w:t>
            </w:r>
            <w:r w:rsidR="008B0C52" w:rsidRPr="008A5824">
              <w:rPr>
                <w:sz w:val="24"/>
                <w:szCs w:val="24"/>
              </w:rPr>
              <w:t>6</w:t>
            </w:r>
            <w:r w:rsidR="000C0B2F" w:rsidRPr="008A5824">
              <w:rPr>
                <w:sz w:val="24"/>
                <w:szCs w:val="24"/>
              </w:rPr>
              <w:t>.202</w:t>
            </w:r>
            <w:r w:rsidR="00900792" w:rsidRPr="008A5824">
              <w:rPr>
                <w:sz w:val="24"/>
                <w:szCs w:val="24"/>
              </w:rPr>
              <w:t>3</w:t>
            </w:r>
          </w:p>
        </w:tc>
      </w:tr>
    </w:tbl>
    <w:p w14:paraId="234B97EB" w14:textId="77777777"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14:paraId="4A0B5AA1" w14:textId="77777777" w:rsidTr="00CC04FD">
        <w:tc>
          <w:tcPr>
            <w:tcW w:w="9979" w:type="dxa"/>
          </w:tcPr>
          <w:p w14:paraId="260FDFD9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14:paraId="4F3EF353" w14:textId="77777777" w:rsidTr="00CC04FD">
        <w:tc>
          <w:tcPr>
            <w:tcW w:w="9979" w:type="dxa"/>
          </w:tcPr>
          <w:p w14:paraId="30A0A150" w14:textId="77777777" w:rsidR="00317B3A" w:rsidRPr="00331C08" w:rsidRDefault="000C0B2F" w:rsidP="005453FB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5453FB">
              <w:rPr>
                <w:sz w:val="24"/>
                <w:szCs w:val="24"/>
              </w:rPr>
              <w:t>О</w:t>
            </w:r>
            <w:r w:rsidR="005453FB" w:rsidRPr="005453FB">
              <w:rPr>
                <w:sz w:val="24"/>
                <w:szCs w:val="24"/>
              </w:rPr>
              <w:t>рган управления эмитента, принявший решение о размещении ценных бумаг</w:t>
            </w:r>
            <w:r w:rsidR="005453FB">
              <w:rPr>
                <w:sz w:val="24"/>
                <w:szCs w:val="24"/>
              </w:rPr>
              <w:t>: Общее собрание акционеров;</w:t>
            </w:r>
          </w:p>
          <w:p w14:paraId="1D595733" w14:textId="77777777"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77310E7" w14:textId="77777777"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 xml:space="preserve">2.2. </w:t>
            </w:r>
            <w:r w:rsidR="005453FB">
              <w:rPr>
                <w:sz w:val="24"/>
                <w:szCs w:val="24"/>
              </w:rPr>
              <w:t>В</w:t>
            </w:r>
            <w:r w:rsidR="005453FB" w:rsidRPr="005453FB">
              <w:rPr>
                <w:sz w:val="24"/>
                <w:szCs w:val="24"/>
              </w:rPr>
              <w:t>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="005453FB">
              <w:rPr>
                <w:sz w:val="24"/>
                <w:szCs w:val="24"/>
              </w:rPr>
              <w:t>: годовое (очередное) Общее собрание акционеров, проведенное в форме заочного голосования</w:t>
            </w:r>
            <w:r w:rsidRPr="00331C08">
              <w:rPr>
                <w:sz w:val="24"/>
                <w:szCs w:val="24"/>
              </w:rPr>
              <w:t>.</w:t>
            </w:r>
          </w:p>
          <w:p w14:paraId="645C2B6F" w14:textId="77777777"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EFB2009" w14:textId="77777777" w:rsidR="00317B3A" w:rsidRPr="00331C08" w:rsidRDefault="00317B3A" w:rsidP="00317B3A">
            <w:pPr>
              <w:ind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 xml:space="preserve">2.3. </w:t>
            </w:r>
            <w:r w:rsidR="005453FB">
              <w:rPr>
                <w:sz w:val="24"/>
                <w:szCs w:val="24"/>
              </w:rPr>
              <w:t>Д</w:t>
            </w:r>
            <w:r w:rsidR="005453FB" w:rsidRPr="005453FB">
              <w:rPr>
                <w:sz w:val="24"/>
                <w:szCs w:val="24"/>
              </w:rPr>
              <w:t>ата принятия уполномоченным органом управления эмитента решения о размещении ценных бумаг</w:t>
            </w:r>
            <w:r w:rsidR="005453FB">
              <w:rPr>
                <w:sz w:val="24"/>
                <w:szCs w:val="24"/>
              </w:rPr>
              <w:t>: 15.06.2023</w:t>
            </w:r>
            <w:r w:rsidRPr="00331C08">
              <w:rPr>
                <w:sz w:val="24"/>
                <w:szCs w:val="24"/>
              </w:rPr>
              <w:t>.</w:t>
            </w:r>
          </w:p>
          <w:p w14:paraId="4308C386" w14:textId="77777777"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241C5BE" w14:textId="77777777" w:rsidR="005453FB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 xml:space="preserve">2.4. </w:t>
            </w:r>
            <w:r w:rsidR="005453FB">
              <w:rPr>
                <w:sz w:val="24"/>
                <w:szCs w:val="24"/>
              </w:rPr>
              <w:t>Д</w:t>
            </w:r>
            <w:r w:rsidR="005453FB" w:rsidRPr="005453FB">
              <w:rPr>
                <w:sz w:val="24"/>
                <w:szCs w:val="24"/>
              </w:rPr>
              <w:t>ата и место проведения собрания (заседания) уполномоченного органа управления эмитента, на котором принято решение о размещении ценных бумаг</w:t>
            </w:r>
            <w:r w:rsidR="005453FB">
              <w:rPr>
                <w:sz w:val="24"/>
                <w:szCs w:val="24"/>
              </w:rPr>
              <w:t xml:space="preserve">: </w:t>
            </w:r>
          </w:p>
          <w:p w14:paraId="704BF099" w14:textId="77777777" w:rsidR="005453FB" w:rsidRDefault="005453FB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годового Общего собрания акционеров – 15.06.2023;</w:t>
            </w:r>
          </w:p>
          <w:p w14:paraId="2C5A10F9" w14:textId="77777777" w:rsidR="005453FB" w:rsidRDefault="005453FB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годового Общего собрания акционеров – годовое (очередное) Общее собрание акционеров проведено в форме заочного голосования.</w:t>
            </w:r>
          </w:p>
          <w:p w14:paraId="1649EFCF" w14:textId="77777777" w:rsidR="005453FB" w:rsidRDefault="005453FB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D819963" w14:textId="77777777" w:rsidR="00317B3A" w:rsidRDefault="00317B3A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5453FB">
              <w:rPr>
                <w:sz w:val="24"/>
                <w:szCs w:val="24"/>
              </w:rPr>
              <w:t>Д</w:t>
            </w:r>
            <w:r w:rsidR="005453FB" w:rsidRPr="005453FB">
              <w:rPr>
                <w:sz w:val="24"/>
                <w:szCs w:val="24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</w:t>
            </w:r>
            <w:r w:rsidR="005453FB">
              <w:rPr>
                <w:sz w:val="24"/>
                <w:szCs w:val="24"/>
              </w:rPr>
              <w:t xml:space="preserve">: </w:t>
            </w:r>
            <w:r w:rsidR="005453FB" w:rsidRPr="008A5824">
              <w:rPr>
                <w:sz w:val="24"/>
                <w:szCs w:val="24"/>
              </w:rPr>
              <w:t>19.06.2023 №</w:t>
            </w:r>
            <w:r w:rsidR="008A5824">
              <w:rPr>
                <w:sz w:val="24"/>
                <w:szCs w:val="24"/>
              </w:rPr>
              <w:t> </w:t>
            </w:r>
            <w:r w:rsidR="005453FB" w:rsidRPr="008A5824">
              <w:rPr>
                <w:sz w:val="24"/>
                <w:szCs w:val="24"/>
              </w:rPr>
              <w:t>26</w:t>
            </w:r>
            <w:r w:rsidR="00900792" w:rsidRPr="008A5824">
              <w:rPr>
                <w:sz w:val="24"/>
                <w:szCs w:val="24"/>
              </w:rPr>
              <w:t>.</w:t>
            </w:r>
          </w:p>
          <w:p w14:paraId="5FE645DA" w14:textId="77777777"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012A2B3" w14:textId="30A97B43" w:rsidR="004A32FA" w:rsidRDefault="00317B3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B70CCC">
              <w:rPr>
                <w:sz w:val="24"/>
                <w:szCs w:val="24"/>
              </w:rPr>
              <w:t>С</w:t>
            </w:r>
            <w:r w:rsidR="00B70CCC" w:rsidRPr="00B70CCC">
              <w:rPr>
                <w:sz w:val="24"/>
                <w:szCs w:val="24"/>
              </w:rPr>
              <w:t>ведения о наличии кворума и о результатах голосования по вопросу о принятии решения о размещении ценных бумаг</w:t>
            </w:r>
            <w:r w:rsidR="00B70CCC">
              <w:rPr>
                <w:sz w:val="24"/>
                <w:szCs w:val="24"/>
              </w:rPr>
              <w:t>:</w:t>
            </w:r>
          </w:p>
          <w:p w14:paraId="0E3854C2" w14:textId="0A6505D8" w:rsidR="00975BBA" w:rsidRDefault="00975BBA" w:rsidP="00975BBA">
            <w:pPr>
              <w:ind w:left="57" w:right="57"/>
              <w:jc w:val="both"/>
              <w:rPr>
                <w:sz w:val="24"/>
                <w:szCs w:val="24"/>
              </w:rPr>
            </w:pPr>
            <w:r w:rsidRPr="00975BBA">
              <w:rPr>
                <w:sz w:val="24"/>
                <w:szCs w:val="24"/>
              </w:rPr>
              <w:t>Сведения о кворуме общего собрания участников (акционеров) эмитента: 99.4096 %, кворум имеется</w:t>
            </w:r>
            <w:r>
              <w:rPr>
                <w:sz w:val="24"/>
                <w:szCs w:val="24"/>
              </w:rPr>
              <w:t>.</w:t>
            </w:r>
          </w:p>
          <w:p w14:paraId="0D8F2AAB" w14:textId="4292D422" w:rsidR="00975BBA" w:rsidRPr="005C0EDB" w:rsidRDefault="00975BBA" w:rsidP="00975BBA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8</w:t>
            </w:r>
            <w:r w:rsidRPr="000F6A05">
              <w:rPr>
                <w:sz w:val="24"/>
                <w:szCs w:val="24"/>
              </w:rPr>
              <w:t xml:space="preserve"> повестки дня – «</w:t>
            </w:r>
            <w:r w:rsidRPr="004A32FA">
              <w:rPr>
                <w:sz w:val="24"/>
                <w:szCs w:val="24"/>
              </w:rPr>
              <w:t>Об увеличении уставного капитала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путем размещения дополнительных акций»</w:t>
            </w:r>
            <w:r w:rsidRPr="005C0EDB">
              <w:rPr>
                <w:sz w:val="24"/>
                <w:szCs w:val="24"/>
              </w:rPr>
              <w:t>:</w:t>
            </w:r>
          </w:p>
          <w:p w14:paraId="4864A09C" w14:textId="77777777" w:rsidR="00975BBA" w:rsidRPr="005C0EDB" w:rsidRDefault="00975BBA" w:rsidP="00975BBA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lastRenderedPageBreak/>
              <w:t>Число голосов, отданных за каждый из вариантов голосования («за», «против», «воздержался»).</w:t>
            </w:r>
          </w:p>
          <w:p w14:paraId="57726D3E" w14:textId="77777777" w:rsidR="00975BBA" w:rsidRPr="005C0EDB" w:rsidRDefault="00975BBA" w:rsidP="00975BBA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Вариант голосования / Число голосов / % от принявших участие в собрании</w:t>
            </w:r>
          </w:p>
          <w:p w14:paraId="5BD5C4EE" w14:textId="77777777" w:rsidR="00975BBA" w:rsidRPr="007F672E" w:rsidRDefault="00975BBA" w:rsidP="00975BBA">
            <w:pPr>
              <w:ind w:left="57" w:right="57"/>
              <w:jc w:val="both"/>
              <w:rPr>
                <w:sz w:val="24"/>
                <w:szCs w:val="24"/>
              </w:rPr>
            </w:pPr>
            <w:r w:rsidRPr="007F672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7F672E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99.9997</w:t>
            </w:r>
          </w:p>
          <w:p w14:paraId="32F0BD65" w14:textId="77777777" w:rsidR="00975BBA" w:rsidRPr="007F672E" w:rsidRDefault="00975BBA" w:rsidP="00975BBA">
            <w:pPr>
              <w:ind w:left="57" w:right="57"/>
              <w:jc w:val="both"/>
              <w:rPr>
                <w:sz w:val="24"/>
                <w:szCs w:val="24"/>
              </w:rPr>
            </w:pPr>
            <w:r w:rsidRPr="007F672E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663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0.0000</w:t>
            </w:r>
          </w:p>
          <w:p w14:paraId="589EAAD9" w14:textId="77777777" w:rsidR="00975BBA" w:rsidRDefault="00975BBA" w:rsidP="00975BBA">
            <w:pPr>
              <w:ind w:left="57" w:right="57"/>
              <w:jc w:val="both"/>
              <w:rPr>
                <w:sz w:val="24"/>
                <w:szCs w:val="24"/>
              </w:rPr>
            </w:pPr>
            <w:r w:rsidRPr="007F672E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F672E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0.0002</w:t>
            </w:r>
          </w:p>
          <w:p w14:paraId="05F87317" w14:textId="77777777" w:rsidR="00B233A7" w:rsidRDefault="00B233A7" w:rsidP="004A32F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763E677" w14:textId="77777777" w:rsidR="006F4F71" w:rsidRPr="006F4F71" w:rsidRDefault="00B233A7" w:rsidP="006F4F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П</w:t>
            </w:r>
            <w:r w:rsidRPr="00B233A7">
              <w:rPr>
                <w:sz w:val="24"/>
                <w:szCs w:val="24"/>
              </w:rPr>
              <w:t>олная формулировка принятого решения о размещении ценных бумаг</w:t>
            </w:r>
            <w:r>
              <w:rPr>
                <w:sz w:val="24"/>
                <w:szCs w:val="24"/>
              </w:rPr>
              <w:t xml:space="preserve">: </w:t>
            </w:r>
            <w:r w:rsidR="006F4F71" w:rsidRPr="006F4F71">
              <w:rPr>
                <w:sz w:val="24"/>
                <w:szCs w:val="24"/>
              </w:rPr>
              <w:t>Увеличить уставный капитал ПАО «</w:t>
            </w:r>
            <w:proofErr w:type="spellStart"/>
            <w:r w:rsidR="006F4F71" w:rsidRPr="006F4F71">
              <w:rPr>
                <w:sz w:val="24"/>
                <w:szCs w:val="24"/>
              </w:rPr>
              <w:t>Россети</w:t>
            </w:r>
            <w:proofErr w:type="spellEnd"/>
            <w:r w:rsidR="006F4F71" w:rsidRPr="006F4F71">
              <w:rPr>
                <w:sz w:val="24"/>
                <w:szCs w:val="24"/>
              </w:rPr>
              <w:t xml:space="preserve"> Северный Кавказ» путем размещения дополнительных обыкновенных акций в количестве 6 280 062 510 (Шесть миллиардов двести восемьдесят миллионов шестьдесят две тысячи пятьсот десять) штук номинальной стоимостью 1 (Один) рубль каждая на общую сумму по номинальной стоимости акций 6 280 062 510 (Шесть миллиардов двести восемьдесят миллионов шестьдесят две тысячи пятьсот десять) рублей на следующих основных условиях: </w:t>
            </w:r>
          </w:p>
          <w:p w14:paraId="3E8D240B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1. Способ размещения дополнительных обыкновенных акций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 – закрытая подписка.</w:t>
            </w:r>
          </w:p>
          <w:p w14:paraId="47AC9868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2. Цена размещения дополнительных обыкновенных акций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Кавказ»: 13 (Тринадцать) рублей 82 (Восемьдесят две) копейки за одну дополнительную обыкновенную акцию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</w:t>
            </w:r>
          </w:p>
          <w:p w14:paraId="435FA286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3. Круг лиц, среди которых предполагается осуществить размещение дополнительных обыкновенных акций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Кавказ»:</w:t>
            </w:r>
          </w:p>
          <w:p w14:paraId="46EAD93A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3.1. На первом этапе акции дополнительного выпуска приобретают владельцы обыкновенных акций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акций, с предоставлением указанным акционерам возможности приобретения целого числа размещаемых дополнительных акций, пропорционального количеству принадлежащим им обыкновенных акций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Кавказ». По желанию акционера,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14:paraId="3A9C6B26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Акционеры, которые не воспользовались правом приобретения причитающихся им акций дополнительного выпуска на первом этапе, считаются отказавшимися от приобретения обыкновенных акций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 дополнительного выпуска на данном этапе.</w:t>
            </w:r>
          </w:p>
          <w:p w14:paraId="1DC76BEB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3.2. На втором этапе целое число акций дополнительного выпуска, оставшихся неразмещенными в ходе первого этапа приобретения, вправе приобрести следующие лица, являющиеся акционерами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акций:</w:t>
            </w:r>
          </w:p>
          <w:p w14:paraId="0683EB6B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 xml:space="preserve">1) Публичное акционерное общество «Федеральная сетевая компания – 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>» (ОГРН</w:t>
            </w:r>
            <w:r w:rsidR="008A5824">
              <w:rPr>
                <w:sz w:val="24"/>
                <w:szCs w:val="24"/>
              </w:rPr>
              <w:t> </w:t>
            </w:r>
            <w:r w:rsidRPr="006F4F71">
              <w:rPr>
                <w:sz w:val="24"/>
                <w:szCs w:val="24"/>
              </w:rPr>
              <w:t>1024701893336);</w:t>
            </w:r>
          </w:p>
          <w:p w14:paraId="0DEB2192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2) Публичное акционерное общество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Ленэнерго» (ОГРН 1027809170300);</w:t>
            </w:r>
          </w:p>
          <w:p w14:paraId="10738C46" w14:textId="77777777" w:rsidR="006F4F71" w:rsidRPr="006F4F71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3) Акционерное общество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Янтарь» (ОГРН 1023900764832).</w:t>
            </w:r>
          </w:p>
          <w:p w14:paraId="3BD90FAE" w14:textId="77777777" w:rsidR="00B233A7" w:rsidRDefault="006F4F71" w:rsidP="006F4F71">
            <w:pPr>
              <w:ind w:left="57" w:right="57"/>
              <w:jc w:val="both"/>
              <w:rPr>
                <w:sz w:val="24"/>
                <w:szCs w:val="24"/>
              </w:rPr>
            </w:pPr>
            <w:r w:rsidRPr="006F4F71">
              <w:rPr>
                <w:sz w:val="24"/>
                <w:szCs w:val="24"/>
              </w:rPr>
              <w:t>4. Форма оплаты дополнительных обыкновенных акций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 – дополнительные обыкновенные акции ПАО 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 могут быть оплачены денежными средствами в рублях Российской Федерации в безналичной форме и/или имущественными правами, представляющими собой право требовать исполнения от ПАО</w:t>
            </w:r>
            <w:r w:rsidR="008A5824">
              <w:rPr>
                <w:sz w:val="24"/>
                <w:szCs w:val="24"/>
              </w:rPr>
              <w:t> </w:t>
            </w:r>
            <w:r w:rsidRPr="006F4F71">
              <w:rPr>
                <w:sz w:val="24"/>
                <w:szCs w:val="24"/>
              </w:rPr>
              <w:t>«</w:t>
            </w:r>
            <w:proofErr w:type="spellStart"/>
            <w:r w:rsidRPr="006F4F71">
              <w:rPr>
                <w:sz w:val="24"/>
                <w:szCs w:val="24"/>
              </w:rPr>
              <w:t>Россети</w:t>
            </w:r>
            <w:proofErr w:type="spellEnd"/>
            <w:r w:rsidRPr="006F4F71">
              <w:rPr>
                <w:sz w:val="24"/>
                <w:szCs w:val="24"/>
              </w:rPr>
              <w:t xml:space="preserve"> Северный Кавказ» уплаты денежных средств, включая права, которые возникнут в будущем из существующих или из будущих обязательств</w:t>
            </w:r>
            <w:r w:rsidR="00B233A7">
              <w:rPr>
                <w:sz w:val="24"/>
                <w:szCs w:val="24"/>
              </w:rPr>
              <w:t>.</w:t>
            </w:r>
          </w:p>
          <w:p w14:paraId="113B4D2C" w14:textId="77777777" w:rsidR="00B233A7" w:rsidRDefault="00B233A7" w:rsidP="004A32F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B0C44FC" w14:textId="1FBDFB06" w:rsidR="00B233A7" w:rsidRDefault="00B233A7" w:rsidP="004A32F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В</w:t>
            </w:r>
            <w:r w:rsidRPr="00B233A7">
              <w:rPr>
                <w:sz w:val="24"/>
                <w:szCs w:val="24"/>
              </w:rPr>
              <w:t xml:space="preserve">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      </w:r>
            <w:r>
              <w:rPr>
                <w:sz w:val="24"/>
                <w:szCs w:val="24"/>
              </w:rPr>
              <w:t xml:space="preserve">: преимущественное право </w:t>
            </w:r>
            <w:proofErr w:type="gramStart"/>
            <w:r>
              <w:rPr>
                <w:sz w:val="24"/>
                <w:szCs w:val="24"/>
              </w:rPr>
              <w:t>приобретения размещаемых ценных бумаг</w:t>
            </w:r>
            <w:proofErr w:type="gramEnd"/>
            <w:r>
              <w:rPr>
                <w:sz w:val="24"/>
                <w:szCs w:val="24"/>
              </w:rPr>
              <w:t xml:space="preserve"> не предоставляется.</w:t>
            </w:r>
          </w:p>
          <w:p w14:paraId="10BF53A3" w14:textId="77777777" w:rsidR="00B233A7" w:rsidRDefault="00B233A7" w:rsidP="004A32F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6F850C2" w14:textId="30619303" w:rsidR="009A1DBB" w:rsidRDefault="00B233A7" w:rsidP="008A58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С</w:t>
            </w:r>
            <w:r w:rsidRPr="00B233A7">
              <w:rPr>
                <w:sz w:val="24"/>
                <w:szCs w:val="24"/>
              </w:rPr>
              <w:t>ведения о намерении эмитента осуществлять в ходе эмиссии ценных бумаг регистрацию проспекта ценных бумаг (при наличии такого намерения)</w:t>
            </w:r>
            <w:r>
              <w:rPr>
                <w:sz w:val="24"/>
                <w:szCs w:val="24"/>
              </w:rPr>
              <w:t xml:space="preserve">: </w:t>
            </w:r>
            <w:r w:rsidR="00975BBA">
              <w:rPr>
                <w:sz w:val="24"/>
                <w:szCs w:val="24"/>
              </w:rPr>
              <w:t xml:space="preserve">у эмитента отсутствует намерение осуществлять регистрацию </w:t>
            </w:r>
            <w:r>
              <w:rPr>
                <w:sz w:val="24"/>
                <w:szCs w:val="24"/>
              </w:rPr>
              <w:t>проспекта ценных бумаг</w:t>
            </w:r>
            <w:r w:rsidR="00975BBA">
              <w:rPr>
                <w:sz w:val="24"/>
                <w:szCs w:val="24"/>
              </w:rPr>
              <w:t xml:space="preserve"> в ходе эмиссии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D09909E" w14:textId="77777777"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14:paraId="4E84D8DA" w14:textId="77777777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298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14:paraId="22D7EB7A" w14:textId="77777777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7FEF8C" w14:textId="77777777"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5AB39" w14:textId="77777777"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Заместитель </w:t>
            </w:r>
            <w:r w:rsidR="004A32FA">
              <w:rPr>
                <w:sz w:val="24"/>
                <w:szCs w:val="24"/>
              </w:rPr>
              <w:t>директора</w:t>
            </w:r>
            <w:r w:rsidRPr="00E158FC">
              <w:rPr>
                <w:sz w:val="24"/>
                <w:szCs w:val="24"/>
              </w:rPr>
              <w:t xml:space="preserve">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14:paraId="065669A0" w14:textId="77777777" w:rsidR="000C0B2F" w:rsidRPr="009F0150" w:rsidRDefault="000C0B2F" w:rsidP="00E3389F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</w:t>
            </w:r>
            <w:r w:rsidR="00E3389F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</w:t>
            </w:r>
            <w:r w:rsidR="00E3389F">
              <w:rPr>
                <w:sz w:val="24"/>
                <w:szCs w:val="24"/>
              </w:rPr>
              <w:t>0</w:t>
            </w:r>
            <w:r w:rsidR="00710B7E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.202</w:t>
            </w:r>
            <w:r w:rsidR="004A32FA">
              <w:rPr>
                <w:sz w:val="24"/>
                <w:szCs w:val="24"/>
              </w:rPr>
              <w:t>3</w:t>
            </w:r>
            <w:r w:rsidRPr="00E158FC">
              <w:rPr>
                <w:sz w:val="24"/>
                <w:szCs w:val="24"/>
              </w:rPr>
              <w:t xml:space="preserve"> № </w:t>
            </w:r>
            <w:r w:rsidR="004A32FA">
              <w:rPr>
                <w:sz w:val="24"/>
                <w:szCs w:val="24"/>
              </w:rPr>
              <w:t>39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C1ED047" w14:textId="77777777"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913A1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13E2C72E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FF252" w14:textId="77777777"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001FFC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14:paraId="124244C5" w14:textId="77777777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5071747F" w14:textId="77777777"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14:paraId="2B8F096D" w14:textId="77777777"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14:paraId="2969538B" w14:textId="77777777"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B6D722" w14:textId="77777777"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96812D0" w14:textId="77777777"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14:paraId="18A678C7" w14:textId="77777777"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5741B25" w14:textId="77777777" w:rsidR="000C0B2F" w:rsidRPr="00FD22EF" w:rsidRDefault="000C0B2F" w:rsidP="00CC04FD"/>
        </w:tc>
      </w:tr>
      <w:tr w:rsidR="000C0B2F" w14:paraId="23BEBE51" w14:textId="77777777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54E361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C15A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D6D9E" w14:textId="77777777" w:rsidR="000C0B2F" w:rsidRDefault="004A32FA" w:rsidP="0020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0AA8" w14:textId="77777777"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CBB13" w14:textId="77777777" w:rsidR="000C0B2F" w:rsidRDefault="004A25A8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1C543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94A78" w14:textId="77777777" w:rsidR="000C0B2F" w:rsidRDefault="000C0B2F" w:rsidP="004A32F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2FA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AAC11A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14:paraId="48C2F2ED" w14:textId="77777777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1EB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14:paraId="79EE3FEB" w14:textId="77777777" w:rsidR="000C0B2F" w:rsidRDefault="000C0B2F" w:rsidP="000C0B2F">
      <w:pPr>
        <w:rPr>
          <w:sz w:val="24"/>
          <w:szCs w:val="24"/>
        </w:rPr>
      </w:pPr>
    </w:p>
    <w:p w14:paraId="441701B3" w14:textId="77777777" w:rsidR="00BE7E28" w:rsidRDefault="00BE7E28"/>
    <w:sectPr w:rsidR="00BE7E28" w:rsidSect="00215970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1848" w14:textId="77777777" w:rsidR="00A83AA9" w:rsidRDefault="00A83AA9" w:rsidP="009A433D">
      <w:r>
        <w:separator/>
      </w:r>
    </w:p>
  </w:endnote>
  <w:endnote w:type="continuationSeparator" w:id="0">
    <w:p w14:paraId="0C802D3A" w14:textId="77777777" w:rsidR="00A83AA9" w:rsidRDefault="00A83AA9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48A0E" w14:textId="77777777" w:rsidR="00A83AA9" w:rsidRDefault="00A83AA9" w:rsidP="009A433D">
      <w:r>
        <w:separator/>
      </w:r>
    </w:p>
  </w:footnote>
  <w:footnote w:type="continuationSeparator" w:id="0">
    <w:p w14:paraId="44F68F4F" w14:textId="77777777" w:rsidR="00A83AA9" w:rsidRDefault="00A83AA9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A0E4E6B" w14:textId="627C1222"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215970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14:paraId="61E318A4" w14:textId="77777777"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4A6"/>
    <w:multiLevelType w:val="hybridMultilevel"/>
    <w:tmpl w:val="74C2D57E"/>
    <w:lvl w:ilvl="0" w:tplc="6E4861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61FB"/>
    <w:multiLevelType w:val="hybridMultilevel"/>
    <w:tmpl w:val="968A9B16"/>
    <w:lvl w:ilvl="0" w:tplc="13A04C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479D"/>
    <w:rsid w:val="000864E0"/>
    <w:rsid w:val="00092258"/>
    <w:rsid w:val="000C0B2F"/>
    <w:rsid w:val="000C679B"/>
    <w:rsid w:val="000D72F3"/>
    <w:rsid w:val="000F6A05"/>
    <w:rsid w:val="00135405"/>
    <w:rsid w:val="0016185A"/>
    <w:rsid w:val="00176092"/>
    <w:rsid w:val="0018022B"/>
    <w:rsid w:val="001B7E21"/>
    <w:rsid w:val="001C454E"/>
    <w:rsid w:val="001C726E"/>
    <w:rsid w:val="001C78AC"/>
    <w:rsid w:val="001D6EC9"/>
    <w:rsid w:val="001F73EA"/>
    <w:rsid w:val="00203D8B"/>
    <w:rsid w:val="00215970"/>
    <w:rsid w:val="00220467"/>
    <w:rsid w:val="00224752"/>
    <w:rsid w:val="00241A4D"/>
    <w:rsid w:val="002609B6"/>
    <w:rsid w:val="002C6B91"/>
    <w:rsid w:val="002D7010"/>
    <w:rsid w:val="002E714C"/>
    <w:rsid w:val="002F3FFE"/>
    <w:rsid w:val="00317B3A"/>
    <w:rsid w:val="00331C08"/>
    <w:rsid w:val="003467DD"/>
    <w:rsid w:val="00381BC6"/>
    <w:rsid w:val="003E7E8A"/>
    <w:rsid w:val="0040155B"/>
    <w:rsid w:val="0041046A"/>
    <w:rsid w:val="004104FB"/>
    <w:rsid w:val="0044733E"/>
    <w:rsid w:val="004A1341"/>
    <w:rsid w:val="004A25A8"/>
    <w:rsid w:val="004A32FA"/>
    <w:rsid w:val="004C51E4"/>
    <w:rsid w:val="004F26E4"/>
    <w:rsid w:val="004F3DC1"/>
    <w:rsid w:val="00506FCD"/>
    <w:rsid w:val="00512777"/>
    <w:rsid w:val="00512E1F"/>
    <w:rsid w:val="005453FB"/>
    <w:rsid w:val="00573CFF"/>
    <w:rsid w:val="00576D09"/>
    <w:rsid w:val="005B14FF"/>
    <w:rsid w:val="005C0EDB"/>
    <w:rsid w:val="00617184"/>
    <w:rsid w:val="0062157F"/>
    <w:rsid w:val="0063533F"/>
    <w:rsid w:val="006369A7"/>
    <w:rsid w:val="00650EBA"/>
    <w:rsid w:val="00694917"/>
    <w:rsid w:val="006D108E"/>
    <w:rsid w:val="006D240F"/>
    <w:rsid w:val="006E44E9"/>
    <w:rsid w:val="006E66AA"/>
    <w:rsid w:val="006F4F71"/>
    <w:rsid w:val="00710B7E"/>
    <w:rsid w:val="00714657"/>
    <w:rsid w:val="0073323F"/>
    <w:rsid w:val="007550CC"/>
    <w:rsid w:val="00755F1F"/>
    <w:rsid w:val="00781BCD"/>
    <w:rsid w:val="007A6BBE"/>
    <w:rsid w:val="007F06A6"/>
    <w:rsid w:val="00813B16"/>
    <w:rsid w:val="00813CC3"/>
    <w:rsid w:val="00817E33"/>
    <w:rsid w:val="00837C5F"/>
    <w:rsid w:val="008577F5"/>
    <w:rsid w:val="00861E05"/>
    <w:rsid w:val="00885180"/>
    <w:rsid w:val="008A5824"/>
    <w:rsid w:val="008B0C52"/>
    <w:rsid w:val="008C4B47"/>
    <w:rsid w:val="008F0DAC"/>
    <w:rsid w:val="00900792"/>
    <w:rsid w:val="00954BBD"/>
    <w:rsid w:val="00975BBA"/>
    <w:rsid w:val="009A1DBB"/>
    <w:rsid w:val="009A433D"/>
    <w:rsid w:val="009D6013"/>
    <w:rsid w:val="009E1C90"/>
    <w:rsid w:val="00A17CC5"/>
    <w:rsid w:val="00A26BBA"/>
    <w:rsid w:val="00A45681"/>
    <w:rsid w:val="00A466BA"/>
    <w:rsid w:val="00A57817"/>
    <w:rsid w:val="00A83AA9"/>
    <w:rsid w:val="00A86CFA"/>
    <w:rsid w:val="00AE31B3"/>
    <w:rsid w:val="00AE7619"/>
    <w:rsid w:val="00B21BC0"/>
    <w:rsid w:val="00B233A7"/>
    <w:rsid w:val="00B34557"/>
    <w:rsid w:val="00B41930"/>
    <w:rsid w:val="00B429FA"/>
    <w:rsid w:val="00B56CC4"/>
    <w:rsid w:val="00B70CCC"/>
    <w:rsid w:val="00B939F9"/>
    <w:rsid w:val="00B97B2F"/>
    <w:rsid w:val="00BA23EA"/>
    <w:rsid w:val="00BE7E28"/>
    <w:rsid w:val="00BF6CAA"/>
    <w:rsid w:val="00C225F9"/>
    <w:rsid w:val="00C62DB6"/>
    <w:rsid w:val="00C65F0E"/>
    <w:rsid w:val="00CB60F6"/>
    <w:rsid w:val="00CB6896"/>
    <w:rsid w:val="00CF2153"/>
    <w:rsid w:val="00D0186A"/>
    <w:rsid w:val="00D11C48"/>
    <w:rsid w:val="00D277E9"/>
    <w:rsid w:val="00D51235"/>
    <w:rsid w:val="00D53205"/>
    <w:rsid w:val="00D86025"/>
    <w:rsid w:val="00D955DF"/>
    <w:rsid w:val="00DC40F8"/>
    <w:rsid w:val="00DC4CA6"/>
    <w:rsid w:val="00E10732"/>
    <w:rsid w:val="00E21F32"/>
    <w:rsid w:val="00E27F3C"/>
    <w:rsid w:val="00E3157E"/>
    <w:rsid w:val="00E3389F"/>
    <w:rsid w:val="00E36C69"/>
    <w:rsid w:val="00E5383B"/>
    <w:rsid w:val="00E566BB"/>
    <w:rsid w:val="00E76E34"/>
    <w:rsid w:val="00E92501"/>
    <w:rsid w:val="00F7659E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C35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97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</cp:revision>
  <dcterms:created xsi:type="dcterms:W3CDTF">2023-06-16T12:39:00Z</dcterms:created>
  <dcterms:modified xsi:type="dcterms:W3CDTF">2023-06-16T12:39:00Z</dcterms:modified>
</cp:coreProperties>
</file>