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406F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406F8E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1C0F23" w:rsidP="00AE7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4FD">
              <w:rPr>
                <w:sz w:val="24"/>
                <w:szCs w:val="24"/>
              </w:rPr>
              <w:t>3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547542">
              <w:rPr>
                <w:sz w:val="24"/>
                <w:szCs w:val="24"/>
              </w:rPr>
              <w:t>5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BC3E4B" w:rsidRPr="00BC3E4B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AE74FD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AE74FD">
              <w:rPr>
                <w:sz w:val="24"/>
                <w:szCs w:val="24"/>
              </w:rPr>
              <w:t>1, 2, 3 и 4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Голосовали «ЗА»: </w:t>
            </w:r>
            <w:r w:rsidR="00BC3E4B" w:rsidRPr="00BC3E4B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E74FD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AE74FD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AE74FD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AE74FD">
              <w:rPr>
                <w:sz w:val="24"/>
                <w:szCs w:val="24"/>
              </w:rPr>
              <w:t>1</w:t>
            </w:r>
            <w:r w:rsidR="007F6B93">
              <w:rPr>
                <w:sz w:val="24"/>
                <w:szCs w:val="24"/>
              </w:rPr>
              <w:t xml:space="preserve"> «</w:t>
            </w:r>
            <w:r w:rsidR="00AE74FD" w:rsidRPr="00AE74FD">
              <w:rPr>
                <w:sz w:val="24"/>
                <w:szCs w:val="24"/>
              </w:rPr>
              <w:t>О предложениях годовому Общему собранию акционеров Общества по назначению аудиторской организации Общества</w:t>
            </w:r>
            <w:r w:rsidR="007F6B9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E74FD" w:rsidRDefault="00AE74FD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Предложить годовому Общему собранию акционеров Общества назначить аудиторской организацией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коллективного участника в составе ООО «ЦАТР – аудиторские услуги» (лидер коллективного участника) и ООО «АКК «Кроу </w:t>
            </w:r>
            <w:proofErr w:type="spellStart"/>
            <w:r w:rsidRPr="00AE74FD">
              <w:rPr>
                <w:sz w:val="24"/>
                <w:szCs w:val="24"/>
              </w:rPr>
              <w:t>Аудэкс</w:t>
            </w:r>
            <w:proofErr w:type="spellEnd"/>
            <w:r w:rsidRPr="00AE74FD">
              <w:rPr>
                <w:sz w:val="24"/>
                <w:szCs w:val="24"/>
              </w:rPr>
              <w:t>» (член коллективного участника).</w:t>
            </w:r>
          </w:p>
          <w:p w:rsidR="00AE74FD" w:rsidRDefault="00AE74FD" w:rsidP="001C0F2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E74FD" w:rsidRDefault="00AE74FD" w:rsidP="001C0F2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2 «</w:t>
            </w:r>
            <w:r w:rsidRPr="00AE74FD">
              <w:rPr>
                <w:sz w:val="24"/>
                <w:szCs w:val="24"/>
              </w:rPr>
              <w:t>О предложениях годовому Общему собранию акционеров Общества по вопросу «Об увеличении уставного капитала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путем размещения дополнительных акций</w:t>
            </w:r>
            <w:r>
              <w:rPr>
                <w:sz w:val="24"/>
                <w:szCs w:val="24"/>
              </w:rPr>
              <w:t>».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Предложить годовому Общему собранию акционеров Общества принять следующее решение по вопросу «Об увеличении уставного капитала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путем размещения дополнительных акций»: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Увеличить уставный капитал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путем размещения дополнительных обыкновенных акций в количестве 6 280 062 510 (Шесть миллиардов двести восемьдесят миллионов шестьдесят две тысячи пятьсот десять) штук номинальной стоимостью 1 (Один) рубль каждая на общую сумму по номинальной стоимости акций 6 280 062 510 (Шесть </w:t>
            </w:r>
            <w:r w:rsidRPr="00AE74FD">
              <w:rPr>
                <w:sz w:val="24"/>
                <w:szCs w:val="24"/>
              </w:rPr>
              <w:lastRenderedPageBreak/>
              <w:t xml:space="preserve">миллиардов двести восемьдесят миллионов шестьдесят две тысячи пятьсот десять) рублей на следующих основных условиях: 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1. Способ размещения дополнительных обыкновенных акций</w:t>
            </w:r>
            <w:r w:rsidR="00981C19" w:rsidRPr="00981C19">
              <w:rPr>
                <w:sz w:val="24"/>
                <w:szCs w:val="24"/>
              </w:rPr>
              <w:t xml:space="preserve"> </w:t>
            </w:r>
            <w:r w:rsidRPr="00AE74FD">
              <w:rPr>
                <w:sz w:val="24"/>
                <w:szCs w:val="24"/>
              </w:rPr>
              <w:t>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– закрытая подписка.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2. Цена размещения дополнительных обыкновенных акций</w:t>
            </w:r>
            <w:r w:rsidR="00F43AE3" w:rsidRPr="00F43AE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E74FD">
              <w:rPr>
                <w:sz w:val="24"/>
                <w:szCs w:val="24"/>
              </w:rPr>
              <w:t>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Кавказ»: 13 (Тринадцать) рублей 82 (Восемьдесят две) копейки за одну дополнительную обыкновенную акцию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3. Круг лиц, среди которых предполагается осуществить размещение дополнительных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Кавказ»: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3.1. На первом этапе акции дополнительного выпуска приобретают владельцы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акций, с предоставлением указанным акционерам возможности приобретения целого числа размещаемых дополнительных акций, пропорционального количеству принадлежащим им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Кавказ». По желанию акционера, он может приобрести меньшее количество акций, чем количество дополнительных акций, пропорциональное количеству принадлежащих ему обыкновенных акций.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Акционеры, которые не воспользовались правом приобретения причитающихся им акций дополнительного выпуска на первом этапе, считаются отказавшимися от приобретения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дополнительного выпуска на данном этапе.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3.2. На втором этапе целое число акций дополнительного выпуска, оставшихся неразмещенными в ходе первого этапа приобретения, вправе приобрести следующие лица, являющиеся акционерами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на дату составления списка лиц, имеющих право на участие в годовом Общем собрании акционеров, на котором принято решение о размещении дополнительных акций: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 xml:space="preserve">1) Публичное акционерное общество «Федеральная сетевая компания – 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>» (ОГРН 1024701893336);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2) Публичное акционерное общество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Ленэнерго» (ОГРН 1027809170300);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3) Акционерное общество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Янтарь» (ОГРН 1023900764832).</w:t>
            </w:r>
          </w:p>
          <w:p w:rsidR="00547542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4. Форма оплаты дополнительных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– дополнительные обыкновенные акции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могут быть оплачены денежными средствами в рублях Российской Федерации в безналичной форме и/или имущественными правами, представляющими собой право требовать исполнения от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уплаты денежных средств, включая права, которые возникнут в будущем из существующих или из будущих обязательств.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3 «</w:t>
            </w:r>
            <w:r w:rsidRPr="00AE74FD">
              <w:rPr>
                <w:sz w:val="24"/>
                <w:szCs w:val="24"/>
              </w:rPr>
              <w:t>Об определении цены размещения дополнительных обыкновенных акций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</w:t>
            </w:r>
            <w:r>
              <w:rPr>
                <w:sz w:val="24"/>
                <w:szCs w:val="24"/>
              </w:rPr>
              <w:t>»».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Определить цену размещения одной дополнительной обыкновенной акции ПАО «</w:t>
            </w:r>
            <w:proofErr w:type="spellStart"/>
            <w:r w:rsidRPr="00AE74FD">
              <w:rPr>
                <w:sz w:val="24"/>
                <w:szCs w:val="24"/>
              </w:rPr>
              <w:t>Россети</w:t>
            </w:r>
            <w:proofErr w:type="spellEnd"/>
            <w:r w:rsidRPr="00AE74FD">
              <w:rPr>
                <w:sz w:val="24"/>
                <w:szCs w:val="24"/>
              </w:rPr>
              <w:t xml:space="preserve"> Северный Кавказ» в соответствии со ст. 36 и ст. 77 Федерального закона от 26.12.1995 № 208-ФЗ «Об акционерных обществах» в размере 13 (Тринадцать) рублей 82 (Восемьдесят две) копейки</w:t>
            </w:r>
            <w:r>
              <w:rPr>
                <w:sz w:val="24"/>
                <w:szCs w:val="24"/>
              </w:rPr>
              <w:t>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4 «</w:t>
            </w:r>
            <w:r w:rsidRPr="00AE74FD">
              <w:rPr>
                <w:sz w:val="24"/>
                <w:szCs w:val="24"/>
              </w:rPr>
              <w:t>Об утверждении формы и текста бюллетеней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 Общества,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</w:t>
            </w:r>
            <w:r>
              <w:rPr>
                <w:sz w:val="24"/>
                <w:szCs w:val="24"/>
              </w:rPr>
              <w:t>».</w:t>
            </w:r>
          </w:p>
          <w:p w:rsidR="00AE74FD" w:rsidRP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1. Утвердить форму и текст бюллетеней для голосования на годовом Общем собрании акционеров Общества в соответствии с приложениями №№ 1, 2 к настоящему решению Совета директоров Общества.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lastRenderedPageBreak/>
              <w:t>2. 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      </w:r>
          </w:p>
          <w:p w:rsid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E74FD" w:rsidRDefault="00AE74F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AE74FD">
              <w:rPr>
                <w:sz w:val="24"/>
                <w:szCs w:val="24"/>
              </w:rPr>
              <w:t>. 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ESVXFR.</w:t>
            </w:r>
          </w:p>
          <w:p w:rsidR="00AE74FD" w:rsidRDefault="00AE74FD" w:rsidP="00F461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AE74FD">
              <w:rPr>
                <w:sz w:val="24"/>
                <w:szCs w:val="24"/>
              </w:rPr>
              <w:t>4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AE74FD">
              <w:rPr>
                <w:sz w:val="24"/>
                <w:szCs w:val="24"/>
              </w:rPr>
              <w:t>22</w:t>
            </w:r>
            <w:r w:rsidR="00954BBD" w:rsidRPr="00D83B23">
              <w:rPr>
                <w:sz w:val="24"/>
                <w:szCs w:val="24"/>
              </w:rPr>
              <w:t> 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AE7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AE74FD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1C0F23">
              <w:rPr>
                <w:sz w:val="24"/>
                <w:szCs w:val="24"/>
              </w:rPr>
              <w:t>2</w:t>
            </w:r>
            <w:r w:rsidR="00AE74FD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427AB6">
              <w:rPr>
                <w:sz w:val="24"/>
                <w:szCs w:val="24"/>
              </w:rPr>
              <w:t>мая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AE74FD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F461E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A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F461E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F461E8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F461E8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1C0F23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6520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427AB6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F461E8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E74F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8E" w:rsidRDefault="00406F8E" w:rsidP="009A433D">
      <w:r>
        <w:separator/>
      </w:r>
    </w:p>
  </w:endnote>
  <w:endnote w:type="continuationSeparator" w:id="0">
    <w:p w:rsidR="00406F8E" w:rsidRDefault="00406F8E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8E" w:rsidRDefault="00406F8E" w:rsidP="009A433D">
      <w:r>
        <w:separator/>
      </w:r>
    </w:p>
  </w:footnote>
  <w:footnote w:type="continuationSeparator" w:id="0">
    <w:p w:rsidR="00406F8E" w:rsidRDefault="00406F8E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F43AE3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AAD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2023-05-22T15:01:00Z</dcterms:created>
  <dcterms:modified xsi:type="dcterms:W3CDTF">2023-05-23T14:23:00Z</dcterms:modified>
</cp:coreProperties>
</file>