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1A9" w:rsidRPr="005C41A9" w:rsidRDefault="005C41A9" w:rsidP="005C41A9">
      <w:pPr>
        <w:pStyle w:val="1"/>
        <w:spacing w:after="280"/>
        <w:ind w:left="140" w:firstLine="700"/>
        <w:jc w:val="center"/>
        <w:rPr>
          <w:b/>
          <w:color w:val="000000"/>
        </w:rPr>
      </w:pPr>
      <w:r w:rsidRPr="005C41A9">
        <w:rPr>
          <w:b/>
          <w:color w:val="000000"/>
        </w:rPr>
        <w:t>Порядок формирования цены на предоставление доступа сторонним лицам к ВЛ для размещения ВОЛС</w:t>
      </w:r>
    </w:p>
    <w:p w:rsidR="005C41A9" w:rsidRDefault="005C41A9" w:rsidP="005C41A9">
      <w:pPr>
        <w:pStyle w:val="1"/>
        <w:spacing w:after="280"/>
        <w:ind w:left="140" w:firstLine="700"/>
        <w:jc w:val="both"/>
      </w:pPr>
      <w:r>
        <w:rPr>
          <w:color w:val="000000"/>
        </w:rPr>
        <w:t>Тариф рассчитывается</w:t>
      </w:r>
      <w:r>
        <w:rPr>
          <w:color w:val="000000"/>
        </w:rPr>
        <w:t xml:space="preserve"> в соответствии с Методическими рекомендациями по формированию цены на предоставление доступа сторонним</w:t>
      </w:r>
      <w:r>
        <w:rPr>
          <w:color w:val="000000"/>
        </w:rPr>
        <w:t xml:space="preserve"> лицам к ВЛ для размещения ВОЛС</w:t>
      </w:r>
      <w:r>
        <w:rPr>
          <w:color w:val="000000"/>
        </w:rPr>
        <w:t>.</w:t>
      </w:r>
    </w:p>
    <w:p w:rsidR="005C41A9" w:rsidRDefault="005C41A9" w:rsidP="005C41A9">
      <w:pPr>
        <w:pStyle w:val="1"/>
        <w:numPr>
          <w:ilvl w:val="0"/>
          <w:numId w:val="1"/>
        </w:numPr>
        <w:tabs>
          <w:tab w:val="left" w:pos="1142"/>
        </w:tabs>
        <w:spacing w:after="280"/>
        <w:ind w:firstLine="740"/>
        <w:jc w:val="both"/>
      </w:pPr>
      <w:bookmarkStart w:id="0" w:name="bookmark0"/>
      <w:bookmarkEnd w:id="0"/>
      <w:r>
        <w:rPr>
          <w:b/>
          <w:bCs/>
          <w:color w:val="000000"/>
        </w:rPr>
        <w:t>ОБЩИЕ ПОЛОЖЕНИЯ</w:t>
      </w:r>
    </w:p>
    <w:p w:rsidR="005C41A9" w:rsidRDefault="005C41A9" w:rsidP="00191D48">
      <w:pPr>
        <w:pStyle w:val="1"/>
        <w:numPr>
          <w:ilvl w:val="1"/>
          <w:numId w:val="1"/>
        </w:numPr>
        <w:tabs>
          <w:tab w:val="left" w:pos="1210"/>
        </w:tabs>
        <w:ind w:firstLine="709"/>
        <w:jc w:val="both"/>
      </w:pPr>
      <w:bookmarkStart w:id="1" w:name="bookmark1"/>
      <w:bookmarkEnd w:id="1"/>
      <w:r>
        <w:rPr>
          <w:color w:val="000000"/>
        </w:rPr>
        <w:t xml:space="preserve">Формирование цены на предоставление доступа сторонним лицам к ВЛ ПАО </w:t>
      </w:r>
      <w:r>
        <w:rPr>
          <w:color w:val="000000"/>
        </w:rPr>
        <w:t>«Россети Северный Кавказ»</w:t>
      </w:r>
      <w:r>
        <w:rPr>
          <w:color w:val="000000"/>
        </w:rPr>
        <w:t xml:space="preserve"> для размещения ВОЛС осуществляется в соответствии с Правилами недискриминационного доступа к инфраструктуре для размещения сетей электросвязи, утвержденными постановлением Правительства Российской Федерации от 29.11.2014 № 1284, в соответствии с которыми:</w:t>
      </w:r>
    </w:p>
    <w:p w:rsidR="005C41A9" w:rsidRDefault="005C41A9" w:rsidP="00191D48">
      <w:pPr>
        <w:pStyle w:val="1"/>
        <w:numPr>
          <w:ilvl w:val="0"/>
          <w:numId w:val="2"/>
        </w:numPr>
        <w:tabs>
          <w:tab w:val="left" w:pos="922"/>
        </w:tabs>
        <w:ind w:firstLine="709"/>
        <w:jc w:val="both"/>
      </w:pPr>
      <w:bookmarkStart w:id="2" w:name="bookmark2"/>
      <w:bookmarkEnd w:id="2"/>
      <w:r>
        <w:rPr>
          <w:color w:val="000000"/>
        </w:rPr>
        <w:t xml:space="preserve">условия доступа к ВЛ не должны зависеть от организационно-правовой формы пользователей ВЛ и их правовых отношений с ПАО </w:t>
      </w:r>
      <w:r>
        <w:rPr>
          <w:color w:val="000000"/>
        </w:rPr>
        <w:t>«Россети Северный Кавказ»</w:t>
      </w:r>
      <w:r>
        <w:rPr>
          <w:color w:val="000000"/>
        </w:rPr>
        <w:t>;</w:t>
      </w:r>
    </w:p>
    <w:p w:rsidR="005C41A9" w:rsidRDefault="005C41A9" w:rsidP="00191D48">
      <w:pPr>
        <w:pStyle w:val="1"/>
        <w:numPr>
          <w:ilvl w:val="0"/>
          <w:numId w:val="2"/>
        </w:numPr>
        <w:tabs>
          <w:tab w:val="left" w:pos="922"/>
        </w:tabs>
        <w:ind w:firstLine="709"/>
        <w:jc w:val="both"/>
      </w:pPr>
      <w:bookmarkStart w:id="3" w:name="bookmark3"/>
      <w:bookmarkEnd w:id="3"/>
      <w:r>
        <w:rPr>
          <w:color w:val="000000"/>
        </w:rPr>
        <w:t xml:space="preserve">плата за предоставление доступа к ВЛ должна устанавливаться на уровне, обеспечивающем компенсацию экономически обоснованных затрат и необходимую прибыль ПАО </w:t>
      </w:r>
      <w:r>
        <w:rPr>
          <w:color w:val="000000"/>
        </w:rPr>
        <w:t>«Россети Северный Кавказ»</w:t>
      </w:r>
      <w:r>
        <w:rPr>
          <w:color w:val="000000"/>
        </w:rPr>
        <w:t>;</w:t>
      </w:r>
    </w:p>
    <w:p w:rsidR="005C41A9" w:rsidRDefault="005C41A9" w:rsidP="00191D48">
      <w:pPr>
        <w:pStyle w:val="1"/>
        <w:numPr>
          <w:ilvl w:val="0"/>
          <w:numId w:val="2"/>
        </w:numPr>
        <w:tabs>
          <w:tab w:val="left" w:pos="927"/>
        </w:tabs>
        <w:ind w:firstLine="709"/>
        <w:jc w:val="both"/>
      </w:pPr>
      <w:bookmarkStart w:id="4" w:name="bookmark4"/>
      <w:bookmarkEnd w:id="4"/>
      <w:r>
        <w:rPr>
          <w:color w:val="000000"/>
        </w:rPr>
        <w:t>плата за предоставление доступа к ВЛ в сопоставимых условиях должна устанавливаться равной для всех пользователей ВЛ.</w:t>
      </w:r>
    </w:p>
    <w:p w:rsidR="005C41A9" w:rsidRDefault="005C41A9" w:rsidP="00191D48">
      <w:pPr>
        <w:pStyle w:val="1"/>
        <w:numPr>
          <w:ilvl w:val="1"/>
          <w:numId w:val="1"/>
        </w:numPr>
        <w:tabs>
          <w:tab w:val="left" w:pos="1201"/>
        </w:tabs>
        <w:ind w:firstLine="709"/>
        <w:jc w:val="both"/>
      </w:pPr>
      <w:bookmarkStart w:id="5" w:name="bookmark5"/>
      <w:bookmarkEnd w:id="5"/>
      <w:r>
        <w:rPr>
          <w:color w:val="000000"/>
        </w:rPr>
        <w:t xml:space="preserve">Плата за предоставление доступа сторонним лицам к ВЛ ПАО </w:t>
      </w:r>
      <w:r>
        <w:rPr>
          <w:color w:val="000000"/>
        </w:rPr>
        <w:t>«Россети Северный Кавказ»</w:t>
      </w:r>
      <w:r>
        <w:rPr>
          <w:color w:val="000000"/>
        </w:rPr>
        <w:t xml:space="preserve"> для размещения ВОЛС должна обеспечивать:</w:t>
      </w:r>
    </w:p>
    <w:p w:rsidR="005C41A9" w:rsidRDefault="005C41A9" w:rsidP="00191D48">
      <w:pPr>
        <w:pStyle w:val="1"/>
        <w:numPr>
          <w:ilvl w:val="2"/>
          <w:numId w:val="1"/>
        </w:numPr>
        <w:tabs>
          <w:tab w:val="left" w:pos="1393"/>
        </w:tabs>
        <w:ind w:firstLine="709"/>
        <w:jc w:val="both"/>
      </w:pPr>
      <w:bookmarkStart w:id="6" w:name="bookmark6"/>
      <w:bookmarkEnd w:id="6"/>
      <w:r>
        <w:rPr>
          <w:color w:val="000000"/>
        </w:rPr>
        <w:t xml:space="preserve">Возмещение дополнительных затрат ПАО </w:t>
      </w:r>
      <w:r>
        <w:rPr>
          <w:color w:val="000000"/>
        </w:rPr>
        <w:t>«Россети Северный Кавказ»</w:t>
      </w:r>
      <w:r>
        <w:rPr>
          <w:color w:val="000000"/>
        </w:rPr>
        <w:t xml:space="preserve"> на проведение работ по техническому обслуживанию и ремонту (далее - ТОиР) ВЛ из-за увеличения издержек, связанных с наличием дополнительных элементов на ВЛ.</w:t>
      </w:r>
    </w:p>
    <w:p w:rsidR="005C41A9" w:rsidRDefault="005C41A9" w:rsidP="00191D48">
      <w:pPr>
        <w:pStyle w:val="1"/>
        <w:numPr>
          <w:ilvl w:val="2"/>
          <w:numId w:val="1"/>
        </w:numPr>
        <w:tabs>
          <w:tab w:val="left" w:pos="1388"/>
        </w:tabs>
        <w:ind w:firstLine="709"/>
        <w:jc w:val="both"/>
      </w:pPr>
      <w:bookmarkStart w:id="7" w:name="bookmark7"/>
      <w:bookmarkEnd w:id="7"/>
      <w:r>
        <w:rPr>
          <w:color w:val="000000"/>
        </w:rPr>
        <w:t xml:space="preserve">Возмещение затрат ПАО </w:t>
      </w:r>
      <w:r>
        <w:rPr>
          <w:color w:val="000000"/>
        </w:rPr>
        <w:t>«Россети Северный Кавказ»</w:t>
      </w:r>
      <w:r>
        <w:rPr>
          <w:color w:val="000000"/>
        </w:rPr>
        <w:t xml:space="preserve">, связанных с обязательствами ПАО </w:t>
      </w:r>
      <w:r>
        <w:rPr>
          <w:color w:val="000000"/>
        </w:rPr>
        <w:t>«Россети Северный Кавказ»</w:t>
      </w:r>
      <w:r>
        <w:rPr>
          <w:color w:val="000000"/>
        </w:rPr>
        <w:t xml:space="preserve"> по сохранению целостности размещенных на ВЛ ВОЛС сторонних лиц при реконструкции, модернизации и новом строительстве ВЛ.</w:t>
      </w:r>
    </w:p>
    <w:p w:rsidR="005C41A9" w:rsidRDefault="005C41A9" w:rsidP="00191D48">
      <w:pPr>
        <w:pStyle w:val="1"/>
        <w:numPr>
          <w:ilvl w:val="2"/>
          <w:numId w:val="1"/>
        </w:numPr>
        <w:tabs>
          <w:tab w:val="left" w:pos="1389"/>
        </w:tabs>
        <w:ind w:firstLine="709"/>
        <w:jc w:val="both"/>
      </w:pPr>
      <w:bookmarkStart w:id="8" w:name="bookmark8"/>
      <w:bookmarkEnd w:id="8"/>
      <w:r>
        <w:rPr>
          <w:color w:val="000000"/>
        </w:rPr>
        <w:t xml:space="preserve">Возмещение накладных расходов ПАО </w:t>
      </w:r>
      <w:r>
        <w:rPr>
          <w:color w:val="000000"/>
        </w:rPr>
        <w:t>«Россети Северный Кавказ»</w:t>
      </w:r>
      <w:r>
        <w:rPr>
          <w:color w:val="000000"/>
        </w:rPr>
        <w:t>.</w:t>
      </w:r>
    </w:p>
    <w:p w:rsidR="005C41A9" w:rsidRDefault="005C41A9" w:rsidP="00191D48">
      <w:pPr>
        <w:pStyle w:val="1"/>
        <w:numPr>
          <w:ilvl w:val="1"/>
          <w:numId w:val="1"/>
        </w:numPr>
        <w:tabs>
          <w:tab w:val="left" w:pos="1206"/>
        </w:tabs>
        <w:ind w:firstLine="709"/>
        <w:jc w:val="both"/>
      </w:pPr>
      <w:bookmarkStart w:id="9" w:name="bookmark9"/>
      <w:bookmarkStart w:id="10" w:name="bookmark10"/>
      <w:bookmarkEnd w:id="9"/>
      <w:bookmarkEnd w:id="10"/>
      <w:r>
        <w:rPr>
          <w:color w:val="000000"/>
        </w:rPr>
        <w:t>Возмещение дополнительных затрат на проведение работ по ТОиР ВЛ, затрат на сохранение целостности ВОЛС сторонних лиц, накладных расходов и получение необходимого уровня рентабельности (доходности) осуществляется периодическими платежами за предоставление доступа сторонним лицам к ВЛ</w:t>
      </w:r>
      <w:r w:rsidR="00191D48">
        <w:rPr>
          <w:color w:val="000000"/>
        </w:rPr>
        <w:br/>
      </w:r>
      <w:r>
        <w:rPr>
          <w:color w:val="000000"/>
        </w:rPr>
        <w:t xml:space="preserve">ПАО </w:t>
      </w:r>
      <w:r>
        <w:rPr>
          <w:color w:val="000000"/>
        </w:rPr>
        <w:t>«Россети Северный Кавказ»</w:t>
      </w:r>
      <w:r>
        <w:rPr>
          <w:color w:val="000000"/>
        </w:rPr>
        <w:t xml:space="preserve"> для размещения ВОЛС.</w:t>
      </w:r>
    </w:p>
    <w:p w:rsidR="005C41A9" w:rsidRDefault="005C41A9" w:rsidP="00191D48">
      <w:pPr>
        <w:pStyle w:val="1"/>
        <w:numPr>
          <w:ilvl w:val="1"/>
          <w:numId w:val="1"/>
        </w:numPr>
        <w:tabs>
          <w:tab w:val="left" w:pos="1206"/>
        </w:tabs>
        <w:ind w:firstLine="709"/>
        <w:jc w:val="both"/>
      </w:pPr>
      <w:bookmarkStart w:id="11" w:name="bookmark11"/>
      <w:bookmarkEnd w:id="11"/>
      <w:r>
        <w:rPr>
          <w:color w:val="000000"/>
        </w:rPr>
        <w:t>Периодические платежи за предоставление доступа к ВЛ взимаются, начиная с даты подписания акта, по которому передаются стороннему лицу во временное ограниченное пользование конструктивные элементы ВЛ, используемые для размещения ВОЛС. При этом дата подписания указанного акта должна предшествовать началу СМР по размещению ВОЛС на используемой ВЛ.</w:t>
      </w:r>
    </w:p>
    <w:p w:rsidR="005C41A9" w:rsidRDefault="005C41A9" w:rsidP="00191D48">
      <w:pPr>
        <w:pStyle w:val="1"/>
        <w:numPr>
          <w:ilvl w:val="1"/>
          <w:numId w:val="1"/>
        </w:numPr>
        <w:tabs>
          <w:tab w:val="left" w:pos="1201"/>
        </w:tabs>
        <w:ind w:firstLine="709"/>
        <w:jc w:val="both"/>
      </w:pPr>
      <w:bookmarkStart w:id="12" w:name="bookmark12"/>
      <w:bookmarkEnd w:id="12"/>
      <w:r>
        <w:rPr>
          <w:color w:val="000000"/>
        </w:rPr>
        <w:t xml:space="preserve">Размер периодических платежей за предоставление доступа сторонним лицам к ВЛ ПАО </w:t>
      </w:r>
      <w:r>
        <w:rPr>
          <w:color w:val="000000"/>
        </w:rPr>
        <w:t>«Россети Северный Кавказ»</w:t>
      </w:r>
      <w:r>
        <w:rPr>
          <w:color w:val="000000"/>
        </w:rPr>
        <w:t xml:space="preserve"> для размещения ВОЛС рассчитывается с использованием цены, определяющий размер платы за использование в течение одного месяца конструктивных элементов одно</w:t>
      </w:r>
      <w:r w:rsidR="00191D48">
        <w:rPr>
          <w:color w:val="000000"/>
        </w:rPr>
        <w:t>й опоры ВЛ для размещения ВОЛС.</w:t>
      </w:r>
    </w:p>
    <w:p w:rsidR="005C41A9" w:rsidRDefault="005C41A9" w:rsidP="00191D48">
      <w:pPr>
        <w:pStyle w:val="1"/>
        <w:numPr>
          <w:ilvl w:val="1"/>
          <w:numId w:val="1"/>
        </w:numPr>
        <w:tabs>
          <w:tab w:val="left" w:pos="1319"/>
        </w:tabs>
        <w:ind w:firstLine="709"/>
        <w:jc w:val="both"/>
      </w:pPr>
      <w:bookmarkStart w:id="13" w:name="bookmark13"/>
      <w:bookmarkEnd w:id="13"/>
      <w:r>
        <w:rPr>
          <w:color w:val="000000"/>
        </w:rPr>
        <w:lastRenderedPageBreak/>
        <w:t>При формировании Цены учитывается:</w:t>
      </w:r>
      <w:bookmarkStart w:id="14" w:name="_GoBack"/>
      <w:bookmarkEnd w:id="14"/>
    </w:p>
    <w:p w:rsidR="005C41A9" w:rsidRDefault="005C41A9" w:rsidP="00191D48">
      <w:pPr>
        <w:pStyle w:val="1"/>
        <w:numPr>
          <w:ilvl w:val="0"/>
          <w:numId w:val="2"/>
        </w:numPr>
        <w:tabs>
          <w:tab w:val="left" w:pos="985"/>
        </w:tabs>
        <w:ind w:firstLine="709"/>
        <w:jc w:val="both"/>
      </w:pPr>
      <w:bookmarkStart w:id="15" w:name="bookmark14"/>
      <w:bookmarkEnd w:id="15"/>
      <w:r>
        <w:rPr>
          <w:color w:val="000000"/>
        </w:rPr>
        <w:t>регион размещения используемой ВЛ;</w:t>
      </w:r>
    </w:p>
    <w:p w:rsidR="005C41A9" w:rsidRDefault="005C41A9" w:rsidP="00191D48">
      <w:pPr>
        <w:pStyle w:val="1"/>
        <w:numPr>
          <w:ilvl w:val="0"/>
          <w:numId w:val="2"/>
        </w:numPr>
        <w:tabs>
          <w:tab w:val="left" w:pos="985"/>
        </w:tabs>
        <w:ind w:firstLine="709"/>
        <w:jc w:val="both"/>
      </w:pPr>
      <w:bookmarkStart w:id="16" w:name="bookmark15"/>
      <w:bookmarkEnd w:id="16"/>
      <w:r>
        <w:rPr>
          <w:color w:val="000000"/>
        </w:rPr>
        <w:t>уровень напряжения используемой ВЛ;</w:t>
      </w:r>
    </w:p>
    <w:p w:rsidR="005C41A9" w:rsidRPr="00191D48" w:rsidRDefault="005C41A9" w:rsidP="00191D48">
      <w:pPr>
        <w:pStyle w:val="1"/>
        <w:numPr>
          <w:ilvl w:val="0"/>
          <w:numId w:val="2"/>
        </w:numPr>
        <w:tabs>
          <w:tab w:val="left" w:pos="985"/>
        </w:tabs>
        <w:ind w:firstLine="709"/>
        <w:jc w:val="both"/>
      </w:pPr>
      <w:bookmarkStart w:id="17" w:name="bookmark16"/>
      <w:bookmarkEnd w:id="17"/>
      <w:r>
        <w:rPr>
          <w:color w:val="000000"/>
        </w:rPr>
        <w:t>тип размещаемой ВОЛС.</w:t>
      </w:r>
    </w:p>
    <w:p w:rsidR="00191D48" w:rsidRDefault="00191D48" w:rsidP="00191D48">
      <w:pPr>
        <w:pStyle w:val="1"/>
        <w:tabs>
          <w:tab w:val="left" w:pos="985"/>
        </w:tabs>
        <w:ind w:left="709" w:firstLine="0"/>
        <w:jc w:val="both"/>
      </w:pPr>
    </w:p>
    <w:p w:rsidR="005C41A9" w:rsidRPr="005C41A9" w:rsidRDefault="005C41A9" w:rsidP="005C41A9">
      <w:pPr>
        <w:widowControl w:val="0"/>
        <w:spacing w:after="0" w:line="240" w:lineRule="auto"/>
        <w:ind w:firstLine="709"/>
        <w:jc w:val="both"/>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 xml:space="preserve">2. РАСЧЕТ ЦЕНЫ НА ПРЕДОСТАВЛЕНИЕ ДОСТУПА К </w:t>
      </w:r>
      <w:r w:rsidRPr="005C41A9">
        <w:rPr>
          <w:rFonts w:ascii="Times New Roman" w:eastAsia="Times New Roman" w:hAnsi="Times New Roman" w:cs="Times New Roman"/>
          <w:b/>
          <w:color w:val="000000" w:themeColor="text1"/>
          <w:sz w:val="26"/>
          <w:szCs w:val="26"/>
          <w:lang w:eastAsia="ru-RU"/>
        </w:rPr>
        <w:t>ВЛ</w:t>
      </w:r>
    </w:p>
    <w:p w:rsidR="00191D48" w:rsidRDefault="00191D48"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2.1. Цена рассчитывается по формуле:</w:t>
      </w:r>
    </w:p>
    <w:p w:rsidR="005C41A9" w:rsidRPr="005C41A9" w:rsidRDefault="005C41A9" w:rsidP="005C41A9">
      <w:pPr>
        <w:widowControl w:val="0"/>
        <w:spacing w:after="0" w:line="240" w:lineRule="auto"/>
        <w:ind w:firstLine="709"/>
        <w:jc w:val="center"/>
        <w:rPr>
          <w:rFonts w:ascii="Times New Roman" w:eastAsia="Times New Roman" w:hAnsi="Times New Roman" w:cs="Times New Roman"/>
          <w:b/>
          <w:iCs/>
          <w:color w:val="000000" w:themeColor="text1"/>
          <w:sz w:val="26"/>
          <w:szCs w:val="26"/>
          <w:vertAlign w:val="subscript"/>
          <w:lang w:eastAsia="ru-RU"/>
        </w:rPr>
      </w:pPr>
      <w:r w:rsidRPr="005C41A9">
        <w:rPr>
          <w:rFonts w:ascii="Times New Roman" w:eastAsia="Times New Roman" w:hAnsi="Times New Roman" w:cs="Times New Roman"/>
          <w:b/>
          <w:iCs/>
          <w:color w:val="000000" w:themeColor="text1"/>
          <w:sz w:val="26"/>
          <w:szCs w:val="26"/>
          <w:lang w:eastAsia="ru-RU"/>
        </w:rPr>
        <w:t xml:space="preserve">Ц = (Зтоир + Зволс) * (1 + Н) * (1 + Р) / </w:t>
      </w:r>
      <w:r w:rsidRPr="005C41A9">
        <w:rPr>
          <w:rFonts w:ascii="Times New Roman" w:eastAsia="Times New Roman" w:hAnsi="Times New Roman" w:cs="Times New Roman"/>
          <w:b/>
          <w:iCs/>
          <w:color w:val="000000" w:themeColor="text1"/>
          <w:sz w:val="26"/>
          <w:szCs w:val="26"/>
          <w:lang w:val="en-US" w:eastAsia="ru-RU"/>
        </w:rPr>
        <w:t>N</w:t>
      </w:r>
      <w:r w:rsidRPr="005C41A9">
        <w:rPr>
          <w:rFonts w:ascii="Times New Roman" w:eastAsia="Times New Roman" w:hAnsi="Times New Roman" w:cs="Times New Roman"/>
          <w:b/>
          <w:iCs/>
          <w:color w:val="000000" w:themeColor="text1"/>
          <w:sz w:val="26"/>
          <w:szCs w:val="26"/>
          <w:vertAlign w:val="subscript"/>
          <w:lang w:eastAsia="ru-RU"/>
        </w:rPr>
        <w:t>,</w:t>
      </w:r>
    </w:p>
    <w:p w:rsidR="005C41A9" w:rsidRPr="005C41A9" w:rsidRDefault="005C41A9" w:rsidP="005C41A9">
      <w:pPr>
        <w:widowControl w:val="0"/>
        <w:spacing w:after="0" w:line="240" w:lineRule="auto"/>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где:</w:t>
      </w:r>
    </w:p>
    <w:p w:rsidR="005C41A9" w:rsidRPr="005C41A9" w:rsidRDefault="005C41A9" w:rsidP="005C41A9">
      <w:pPr>
        <w:widowControl w:val="0"/>
        <w:spacing w:after="0" w:line="240" w:lineRule="auto"/>
        <w:ind w:firstLine="709"/>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Ц</w:t>
      </w:r>
      <w:r w:rsidRPr="005C41A9">
        <w:rPr>
          <w:rFonts w:ascii="Times New Roman" w:eastAsia="Times New Roman" w:hAnsi="Times New Roman" w:cs="Times New Roman"/>
          <w:iCs/>
          <w:color w:val="000000" w:themeColor="text1"/>
          <w:sz w:val="26"/>
          <w:szCs w:val="26"/>
          <w:lang w:eastAsia="ru-RU"/>
        </w:rPr>
        <w:t xml:space="preserve"> - цена на предоставление доступа к ВЛ, руб./(опора*мес.) без НДС;</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Зтоир</w:t>
      </w:r>
      <w:r w:rsidRPr="005C41A9">
        <w:rPr>
          <w:rFonts w:ascii="Times New Roman" w:eastAsia="Times New Roman" w:hAnsi="Times New Roman" w:cs="Times New Roman"/>
          <w:iCs/>
          <w:color w:val="000000" w:themeColor="text1"/>
          <w:sz w:val="26"/>
          <w:szCs w:val="26"/>
          <w:lang w:eastAsia="ru-RU"/>
        </w:rPr>
        <w:t xml:space="preserve"> -</w:t>
      </w:r>
      <w:r w:rsidRPr="005C41A9">
        <w:rPr>
          <w:rFonts w:ascii="Times New Roman" w:eastAsia="Times New Roman" w:hAnsi="Times New Roman" w:cs="Times New Roman"/>
          <w:iCs/>
          <w:color w:val="000000" w:themeColor="text1"/>
          <w:sz w:val="26"/>
          <w:szCs w:val="26"/>
          <w:vertAlign w:val="subscript"/>
          <w:lang w:eastAsia="ru-RU"/>
        </w:rPr>
        <w:t xml:space="preserve"> </w:t>
      </w:r>
      <w:r w:rsidRPr="005C41A9">
        <w:rPr>
          <w:rFonts w:ascii="Times New Roman" w:eastAsia="Times New Roman" w:hAnsi="Times New Roman" w:cs="Times New Roman"/>
          <w:iCs/>
          <w:color w:val="000000" w:themeColor="text1"/>
          <w:sz w:val="26"/>
          <w:szCs w:val="26"/>
          <w:lang w:eastAsia="ru-RU"/>
        </w:rPr>
        <w:t>дополнительные затраты при проведении работ по ТОиР ВЛ</w:t>
      </w:r>
      <w:r w:rsidRPr="005C41A9">
        <w:rPr>
          <w:rFonts w:ascii="Times New Roman" w:eastAsia="Times New Roman" w:hAnsi="Times New Roman" w:cs="Times New Roman"/>
          <w:color w:val="000000" w:themeColor="text1"/>
          <w:sz w:val="26"/>
          <w:szCs w:val="26"/>
          <w:lang w:eastAsia="ru-RU"/>
        </w:rPr>
        <w:t>,</w:t>
      </w:r>
      <w:r w:rsidRPr="005C41A9">
        <w:rPr>
          <w:rFonts w:ascii="Times New Roman" w:eastAsia="Times New Roman" w:hAnsi="Times New Roman" w:cs="Times New Roman"/>
          <w:iCs/>
          <w:color w:val="000000" w:themeColor="text1"/>
          <w:sz w:val="26"/>
          <w:szCs w:val="26"/>
          <w:lang w:eastAsia="ru-RU"/>
        </w:rPr>
        <w:t xml:space="preserve"> руб./(км*мес.) без НДС (расчет - см. п. 2.2); </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color w:val="000000" w:themeColor="text1"/>
          <w:sz w:val="26"/>
          <w:szCs w:val="26"/>
          <w:lang w:eastAsia="ru-RU"/>
        </w:rPr>
        <w:t>Зволс</w:t>
      </w:r>
      <w:r w:rsidRPr="005C41A9">
        <w:rPr>
          <w:rFonts w:ascii="Times New Roman" w:eastAsia="Times New Roman" w:hAnsi="Times New Roman" w:cs="Times New Roman"/>
          <w:color w:val="000000" w:themeColor="text1"/>
          <w:sz w:val="26"/>
          <w:szCs w:val="26"/>
          <w:lang w:eastAsia="ru-RU"/>
        </w:rPr>
        <w:t xml:space="preserve"> - затраты на обеспечение целостности ВОЛС сторонних лиц,</w:t>
      </w:r>
      <w:r w:rsidRPr="005C41A9">
        <w:rPr>
          <w:rFonts w:ascii="Times New Roman" w:eastAsia="Times New Roman" w:hAnsi="Times New Roman" w:cs="Times New Roman"/>
          <w:iCs/>
          <w:color w:val="000000" w:themeColor="text1"/>
          <w:sz w:val="26"/>
          <w:szCs w:val="26"/>
          <w:lang w:eastAsia="ru-RU"/>
        </w:rPr>
        <w:t xml:space="preserve"> руб./(км*мес.) без НДС (расчет - см. п. 2.3);</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Н</w:t>
      </w:r>
      <w:r w:rsidRPr="005C41A9">
        <w:rPr>
          <w:rFonts w:ascii="Times New Roman" w:eastAsia="Times New Roman" w:hAnsi="Times New Roman" w:cs="Times New Roman"/>
          <w:iCs/>
          <w:color w:val="000000" w:themeColor="text1"/>
          <w:sz w:val="26"/>
          <w:szCs w:val="26"/>
          <w:lang w:eastAsia="ru-RU"/>
        </w:rPr>
        <w:t xml:space="preserve"> - уровень накладных расходов, принимается равным </w:t>
      </w:r>
      <w:bookmarkStart w:id="18" w:name="Кнакл"/>
      <w:r w:rsidRPr="005C41A9">
        <w:rPr>
          <w:rFonts w:ascii="Times New Roman" w:eastAsia="Times New Roman" w:hAnsi="Times New Roman" w:cs="Times New Roman"/>
          <w:iCs/>
          <w:color w:val="000000" w:themeColor="text1"/>
          <w:sz w:val="26"/>
          <w:szCs w:val="26"/>
          <w:lang w:eastAsia="ru-RU"/>
        </w:rPr>
        <w:t>0,30</w:t>
      </w:r>
      <w:bookmarkEnd w:id="18"/>
      <w:r w:rsidRPr="005C41A9">
        <w:rPr>
          <w:rFonts w:ascii="Times New Roman" w:eastAsia="Times New Roman" w:hAnsi="Times New Roman" w:cs="Times New Roman"/>
          <w:iCs/>
          <w:color w:val="000000" w:themeColor="text1"/>
          <w:sz w:val="26"/>
          <w:szCs w:val="26"/>
          <w:lang w:eastAsia="ru-RU"/>
        </w:rPr>
        <w:t xml:space="preserve"> (30%);</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Р</w:t>
      </w:r>
      <w:r w:rsidRPr="005C41A9" w:rsidDel="00F13F41">
        <w:rPr>
          <w:rFonts w:ascii="Times New Roman" w:eastAsia="Times New Roman" w:hAnsi="Times New Roman" w:cs="Times New Roman"/>
          <w:b/>
          <w:iCs/>
          <w:color w:val="000000" w:themeColor="text1"/>
          <w:sz w:val="26"/>
          <w:szCs w:val="26"/>
          <w:lang w:eastAsia="ru-RU"/>
        </w:rPr>
        <w:t xml:space="preserve"> </w:t>
      </w:r>
      <w:r w:rsidRPr="005C41A9">
        <w:rPr>
          <w:rFonts w:ascii="Times New Roman" w:eastAsia="Times New Roman" w:hAnsi="Times New Roman" w:cs="Times New Roman"/>
          <w:iCs/>
          <w:color w:val="000000" w:themeColor="text1"/>
          <w:sz w:val="26"/>
          <w:szCs w:val="26"/>
          <w:lang w:eastAsia="ru-RU"/>
        </w:rPr>
        <w:t>- уровень рентабельности (доходности), принимается равным 0,15 (15%);</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val="en-US" w:eastAsia="ru-RU"/>
        </w:rPr>
        <w:t>N</w:t>
      </w:r>
      <w:r w:rsidRPr="005C41A9">
        <w:rPr>
          <w:rFonts w:ascii="Times New Roman" w:eastAsia="Times New Roman" w:hAnsi="Times New Roman" w:cs="Times New Roman"/>
          <w:iCs/>
          <w:color w:val="000000" w:themeColor="text1"/>
          <w:sz w:val="26"/>
          <w:szCs w:val="26"/>
          <w:lang w:eastAsia="ru-RU"/>
        </w:rPr>
        <w:t xml:space="preserve"> - среднее количество опор ВЛ соответствующего уровня напряжения на одном километре ВЛ.</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2.2. Расчет дополнительных затрат при проведении работ по ТОиР ВЛ:</w:t>
      </w:r>
    </w:p>
    <w:p w:rsidR="005C41A9" w:rsidRPr="005C41A9" w:rsidRDefault="005C41A9" w:rsidP="005C41A9">
      <w:pPr>
        <w:widowControl w:val="0"/>
        <w:spacing w:after="0" w:line="240" w:lineRule="auto"/>
        <w:ind w:firstLine="709"/>
        <w:jc w:val="center"/>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Зтоир = Стоир * Дтоир / 12,</w:t>
      </w:r>
    </w:p>
    <w:p w:rsidR="005C41A9" w:rsidRPr="005C41A9" w:rsidRDefault="005C41A9" w:rsidP="005C41A9">
      <w:pPr>
        <w:widowControl w:val="0"/>
        <w:spacing w:after="0" w:line="240" w:lineRule="auto"/>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где:</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Стоир</w:t>
      </w:r>
      <w:r w:rsidRPr="005C41A9">
        <w:rPr>
          <w:rFonts w:ascii="Times New Roman" w:eastAsia="Times New Roman" w:hAnsi="Times New Roman" w:cs="Times New Roman"/>
          <w:iCs/>
          <w:color w:val="000000" w:themeColor="text1"/>
          <w:sz w:val="26"/>
          <w:szCs w:val="26"/>
          <w:lang w:eastAsia="ru-RU"/>
        </w:rPr>
        <w:t xml:space="preserve"> - средняя годовая стоимость ТОиР одного километра ВЛ соответствующего уровня напряжения в зоне филиала ДЗО за три последних предшествующих года, руб./(км*год) без НДС; рассчитывается по формуле:</w:t>
      </w:r>
    </w:p>
    <w:p w:rsidR="005C41A9" w:rsidRPr="005C41A9" w:rsidRDefault="005C41A9" w:rsidP="005C41A9">
      <w:pPr>
        <w:widowControl w:val="0"/>
        <w:spacing w:after="0" w:line="240" w:lineRule="auto"/>
        <w:jc w:val="center"/>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 xml:space="preserve">Стоир = ( Стоир 1 * Кинф + Стоир 2 * Кинф * Кинф 1 + </w:t>
      </w:r>
    </w:p>
    <w:p w:rsidR="005C41A9" w:rsidRPr="005C41A9" w:rsidRDefault="005C41A9" w:rsidP="005C41A9">
      <w:pPr>
        <w:widowControl w:val="0"/>
        <w:spacing w:after="0" w:line="240" w:lineRule="auto"/>
        <w:jc w:val="center"/>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Стоир 3 * Кинф * Кинф 1 * Кинф 2 ) / 3,</w:t>
      </w:r>
    </w:p>
    <w:p w:rsidR="005C41A9" w:rsidRPr="005C41A9" w:rsidRDefault="005C41A9" w:rsidP="005C41A9">
      <w:pPr>
        <w:widowControl w:val="0"/>
        <w:spacing w:after="0" w:line="240" w:lineRule="auto"/>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где:</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Стоир 1, Стоир 2, Стоир 3</w:t>
      </w:r>
      <w:r w:rsidRPr="005C41A9">
        <w:rPr>
          <w:rFonts w:ascii="Times New Roman" w:eastAsia="Times New Roman" w:hAnsi="Times New Roman" w:cs="Times New Roman"/>
          <w:iCs/>
          <w:color w:val="000000" w:themeColor="text1"/>
          <w:sz w:val="26"/>
          <w:szCs w:val="26"/>
          <w:lang w:eastAsia="ru-RU"/>
        </w:rPr>
        <w:t xml:space="preserve"> - средняя стоимость ТОиР одного километра ВЛ соответствующего уровня напряжения в зоне филиала ДЗО за первый, второй и третий предшествующий год, руб./(км*год) без НДС; каждая из </w:t>
      </w:r>
      <w:r w:rsidRPr="005C41A9">
        <w:rPr>
          <w:rFonts w:ascii="Times New Roman" w:eastAsia="Times New Roman" w:hAnsi="Times New Roman" w:cs="Times New Roman"/>
          <w:b/>
          <w:iCs/>
          <w:color w:val="000000" w:themeColor="text1"/>
          <w:sz w:val="26"/>
          <w:szCs w:val="26"/>
          <w:lang w:eastAsia="ru-RU"/>
        </w:rPr>
        <w:t xml:space="preserve">Стоир 1…3 </w:t>
      </w:r>
      <w:r w:rsidRPr="005C41A9">
        <w:rPr>
          <w:rFonts w:ascii="Times New Roman" w:eastAsia="Times New Roman" w:hAnsi="Times New Roman" w:cs="Times New Roman"/>
          <w:iCs/>
          <w:color w:val="000000" w:themeColor="text1"/>
          <w:sz w:val="26"/>
          <w:szCs w:val="26"/>
          <w:lang w:eastAsia="ru-RU"/>
        </w:rPr>
        <w:t>рассчитывается как результат деления суммы затрат на ТОиР всех ВЛ соответствующего уровня напряжения в зоне филиала ДЗО за соответствующий год на их суммарную протяженность в зоне этого филиала ДЗО;</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 xml:space="preserve">Кинф, Кинф 1, Кинф 2 - </w:t>
      </w:r>
      <w:r w:rsidRPr="005C41A9">
        <w:rPr>
          <w:rFonts w:ascii="Times New Roman" w:eastAsia="Times New Roman" w:hAnsi="Times New Roman" w:cs="Times New Roman"/>
          <w:iCs/>
          <w:color w:val="000000" w:themeColor="text1"/>
          <w:sz w:val="26"/>
          <w:szCs w:val="26"/>
          <w:lang w:eastAsia="ru-RU"/>
        </w:rPr>
        <w:t>коэффициенты инфляции за год расчета (за полный/ неполный год), первый и второй предшествующий год; определяются на основании публикуемых Федеральной службой государственной статистики индексов потребительских цен;</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Дтоир</w:t>
      </w:r>
      <w:r w:rsidRPr="005C41A9">
        <w:rPr>
          <w:rFonts w:ascii="Times New Roman" w:eastAsia="Times New Roman" w:hAnsi="Times New Roman" w:cs="Times New Roman"/>
          <w:iCs/>
          <w:color w:val="000000" w:themeColor="text1"/>
          <w:sz w:val="26"/>
          <w:szCs w:val="26"/>
          <w:lang w:eastAsia="ru-RU"/>
        </w:rPr>
        <w:t xml:space="preserve"> - доля дополнительных затрат при проведении работ по ТОиР ВЛ от Стоир; принимается равной </w:t>
      </w:r>
      <w:bookmarkStart w:id="19" w:name="Дтоир"/>
      <w:r w:rsidRPr="005C41A9">
        <w:rPr>
          <w:rFonts w:ascii="Times New Roman" w:eastAsia="Times New Roman" w:hAnsi="Times New Roman" w:cs="Times New Roman"/>
          <w:iCs/>
          <w:color w:val="000000" w:themeColor="text1"/>
          <w:sz w:val="26"/>
          <w:szCs w:val="26"/>
          <w:lang w:eastAsia="ru-RU"/>
        </w:rPr>
        <w:t>0,025 (2,5%) для ВЛ всех уровней напряжения.</w:t>
      </w:r>
      <w:bookmarkEnd w:id="19"/>
    </w:p>
    <w:p w:rsidR="005C41A9" w:rsidRPr="005C41A9" w:rsidRDefault="005C41A9" w:rsidP="005C41A9">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t xml:space="preserve">2.3. Расчет </w:t>
      </w:r>
      <w:r w:rsidRPr="005C41A9">
        <w:rPr>
          <w:rFonts w:ascii="Times New Roman" w:eastAsia="Times New Roman" w:hAnsi="Times New Roman" w:cs="Times New Roman"/>
          <w:color w:val="000000" w:themeColor="text1"/>
          <w:sz w:val="26"/>
          <w:szCs w:val="26"/>
          <w:lang w:eastAsia="ru-RU"/>
        </w:rPr>
        <w:t>затрат на обеспечение целостности ВОЛС сторонних лиц:</w:t>
      </w:r>
    </w:p>
    <w:p w:rsidR="005C41A9" w:rsidRPr="005C41A9" w:rsidRDefault="005C41A9" w:rsidP="005C41A9">
      <w:pPr>
        <w:widowControl w:val="0"/>
        <w:spacing w:after="0" w:line="240" w:lineRule="auto"/>
        <w:ind w:firstLine="709"/>
        <w:jc w:val="center"/>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Зволс = ( Ссмр * Днар ) / 12,</w:t>
      </w:r>
    </w:p>
    <w:p w:rsidR="005C41A9" w:rsidRPr="005C41A9" w:rsidRDefault="005C41A9" w:rsidP="005C41A9">
      <w:pPr>
        <w:widowControl w:val="0"/>
        <w:spacing w:after="0" w:line="240" w:lineRule="auto"/>
        <w:jc w:val="both"/>
        <w:rPr>
          <w:rFonts w:ascii="Times New Roman" w:eastAsia="Times New Roman" w:hAnsi="Times New Roman" w:cs="Times New Roman"/>
          <w:color w:val="000000" w:themeColor="text1"/>
          <w:sz w:val="26"/>
          <w:szCs w:val="26"/>
          <w:lang w:eastAsia="ru-RU"/>
        </w:rPr>
      </w:pPr>
      <w:r w:rsidRPr="005C41A9">
        <w:rPr>
          <w:rFonts w:ascii="Times New Roman" w:eastAsia="Times New Roman" w:hAnsi="Times New Roman" w:cs="Times New Roman"/>
          <w:color w:val="000000" w:themeColor="text1"/>
          <w:sz w:val="26"/>
          <w:szCs w:val="26"/>
          <w:lang w:eastAsia="ru-RU"/>
        </w:rPr>
        <w:t>где:</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Ссмр</w:t>
      </w:r>
      <w:r w:rsidRPr="005C41A9">
        <w:rPr>
          <w:rFonts w:ascii="Times New Roman" w:eastAsia="Times New Roman" w:hAnsi="Times New Roman" w:cs="Times New Roman"/>
          <w:iCs/>
          <w:color w:val="000000" w:themeColor="text1"/>
          <w:sz w:val="26"/>
          <w:szCs w:val="26"/>
          <w:lang w:eastAsia="ru-RU"/>
        </w:rPr>
        <w:t xml:space="preserve"> - стоимость демонтажа и строительно-монтажных работ по подвесу определенного типа ВОЛС в зоне размещения используемой ВЛ, руб./км без НДС; рассчитывается по формуле:</w:t>
      </w:r>
    </w:p>
    <w:p w:rsidR="005C41A9" w:rsidRPr="005C41A9" w:rsidRDefault="005C41A9" w:rsidP="005C41A9">
      <w:pPr>
        <w:widowControl w:val="0"/>
        <w:spacing w:after="0" w:line="240" w:lineRule="auto"/>
        <w:jc w:val="center"/>
        <w:rPr>
          <w:rFonts w:ascii="Times New Roman" w:eastAsia="Times New Roman" w:hAnsi="Times New Roman" w:cs="Times New Roman"/>
          <w:b/>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Ссмр = УНЦволс * Крег * Кинф,</w:t>
      </w:r>
    </w:p>
    <w:p w:rsidR="005C41A9" w:rsidRPr="005C41A9" w:rsidRDefault="005C41A9" w:rsidP="005C41A9">
      <w:pPr>
        <w:keepNext/>
        <w:keepLines/>
        <w:spacing w:after="0" w:line="240" w:lineRule="auto"/>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iCs/>
          <w:color w:val="000000" w:themeColor="text1"/>
          <w:sz w:val="26"/>
          <w:szCs w:val="26"/>
          <w:lang w:eastAsia="ru-RU"/>
        </w:rPr>
        <w:lastRenderedPageBreak/>
        <w:t>где:</w:t>
      </w:r>
    </w:p>
    <w:p w:rsidR="005C41A9" w:rsidRPr="005C41A9" w:rsidRDefault="005C41A9" w:rsidP="005C41A9">
      <w:pPr>
        <w:keepNext/>
        <w:keepLines/>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УНЦволс</w:t>
      </w:r>
      <w:r w:rsidRPr="005C41A9">
        <w:rPr>
          <w:rFonts w:ascii="Times New Roman" w:eastAsia="Times New Roman" w:hAnsi="Times New Roman" w:cs="Times New Roman"/>
          <w:iCs/>
          <w:color w:val="000000" w:themeColor="text1"/>
          <w:sz w:val="26"/>
          <w:szCs w:val="26"/>
          <w:lang w:eastAsia="ru-RU"/>
        </w:rPr>
        <w:t xml:space="preserve"> - базовый УНЦ О2-06-2 для ОКСН или О1-02-3 для ОКГТ по состоянию на 01.01.2018; для ОКФП и ОКНН применяется средняя рыночная стоимость СМР по их демонтажу и новому подвесу на ВЛ;</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 xml:space="preserve">Крег </w:t>
      </w:r>
      <w:r w:rsidRPr="005C41A9">
        <w:rPr>
          <w:rFonts w:ascii="Times New Roman" w:eastAsia="Times New Roman" w:hAnsi="Times New Roman" w:cs="Times New Roman"/>
          <w:iCs/>
          <w:color w:val="000000" w:themeColor="text1"/>
          <w:sz w:val="26"/>
          <w:szCs w:val="26"/>
          <w:lang w:eastAsia="ru-RU"/>
        </w:rPr>
        <w:t>- коэффициент перехода (пересчета) Ц2-хх-35 от базового УНЦ к уровню УНЦ субъектов Российской Федерации;</w:t>
      </w:r>
    </w:p>
    <w:p w:rsidR="005C41A9" w:rsidRPr="005C41A9" w:rsidRDefault="005C41A9" w:rsidP="005C41A9">
      <w:pPr>
        <w:widowControl w:val="0"/>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5C41A9">
        <w:rPr>
          <w:rFonts w:ascii="Times New Roman" w:eastAsia="Times New Roman" w:hAnsi="Times New Roman" w:cs="Times New Roman"/>
          <w:b/>
          <w:iCs/>
          <w:color w:val="000000" w:themeColor="text1"/>
          <w:sz w:val="26"/>
          <w:szCs w:val="26"/>
          <w:lang w:eastAsia="ru-RU"/>
        </w:rPr>
        <w:t xml:space="preserve">Кинф </w:t>
      </w:r>
      <w:r w:rsidRPr="005C41A9">
        <w:rPr>
          <w:rFonts w:ascii="Times New Roman" w:eastAsia="Times New Roman" w:hAnsi="Times New Roman" w:cs="Times New Roman"/>
          <w:iCs/>
          <w:color w:val="000000" w:themeColor="text1"/>
          <w:sz w:val="26"/>
          <w:szCs w:val="26"/>
          <w:lang w:eastAsia="ru-RU"/>
        </w:rPr>
        <w:t>- коэффициент инфляции; определяется как произведение публикуемых Федеральной службой государственной статистики индексов потребительских цен для каждого года начиная с 2018 года до года включительно (за полный/неполный год), в котором определяется цена на предоставление доступа к ВЛ для размещения ВОЛС;</w:t>
      </w:r>
    </w:p>
    <w:p w:rsidR="005C7F85" w:rsidRDefault="005C41A9" w:rsidP="005C41A9">
      <w:r w:rsidRPr="005C41A9">
        <w:rPr>
          <w:rFonts w:ascii="Times New Roman" w:eastAsia="Times New Roman" w:hAnsi="Times New Roman" w:cs="Times New Roman"/>
          <w:b/>
          <w:iCs/>
          <w:color w:val="000000" w:themeColor="text1"/>
          <w:sz w:val="26"/>
          <w:szCs w:val="26"/>
          <w:lang w:eastAsia="ru-RU"/>
        </w:rPr>
        <w:t>Днар</w:t>
      </w:r>
      <w:r w:rsidRPr="005C41A9">
        <w:rPr>
          <w:rFonts w:ascii="Times New Roman" w:eastAsia="Times New Roman" w:hAnsi="Times New Roman" w:cs="Times New Roman"/>
          <w:iCs/>
          <w:color w:val="000000" w:themeColor="text1"/>
          <w:sz w:val="26"/>
          <w:szCs w:val="26"/>
          <w:lang w:eastAsia="ru-RU"/>
        </w:rPr>
        <w:t xml:space="preserve"> - доля нарушения целостности ВОЛС при работах на</w:t>
      </w:r>
      <w:r w:rsidRPr="005C41A9">
        <w:rPr>
          <w:rFonts w:ascii="Times New Roman" w:eastAsia="Times New Roman" w:hAnsi="Times New Roman" w:cs="Times New Roman"/>
          <w:color w:val="000000" w:themeColor="text1"/>
          <w:sz w:val="26"/>
          <w:szCs w:val="26"/>
          <w:lang w:eastAsia="ru-RU"/>
        </w:rPr>
        <w:t xml:space="preserve"> ВЛ, связанных с ТОиР, реконструкцией, модернизацией и новом строительстве ВЛ</w:t>
      </w:r>
      <w:r w:rsidRPr="005C41A9">
        <w:rPr>
          <w:rFonts w:ascii="Times New Roman" w:eastAsia="Times New Roman" w:hAnsi="Times New Roman" w:cs="Times New Roman"/>
          <w:iCs/>
          <w:color w:val="000000" w:themeColor="text1"/>
          <w:sz w:val="26"/>
          <w:szCs w:val="26"/>
          <w:lang w:eastAsia="ru-RU"/>
        </w:rPr>
        <w:t>; определяет среднюю долю протяженности ВЛ соответствующего уровня напряжения, на которой проводятся работы, приводящие к необходимости сохранения целостности ВОЛС, от общей протяженности ВЛ этого уровня напряжения; принимается равной 0,024 (2,4%) для ВЛ уровня напряжения 0,4-20 кВ, 0,013 (1,3%) для ВЛ уровня напряжения 35 кВ и выше.</w:t>
      </w:r>
    </w:p>
    <w:sectPr w:rsidR="005C7F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1A9" w:rsidRDefault="005C41A9" w:rsidP="005C41A9">
      <w:pPr>
        <w:spacing w:after="0" w:line="240" w:lineRule="auto"/>
      </w:pPr>
      <w:r>
        <w:separator/>
      </w:r>
    </w:p>
  </w:endnote>
  <w:endnote w:type="continuationSeparator" w:id="0">
    <w:p w:rsidR="005C41A9" w:rsidRDefault="005C41A9" w:rsidP="005C4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1A9" w:rsidRDefault="005C41A9" w:rsidP="005C41A9">
      <w:pPr>
        <w:spacing w:after="0" w:line="240" w:lineRule="auto"/>
      </w:pPr>
      <w:r>
        <w:separator/>
      </w:r>
    </w:p>
  </w:footnote>
  <w:footnote w:type="continuationSeparator" w:id="0">
    <w:p w:rsidR="005C41A9" w:rsidRDefault="005C41A9" w:rsidP="005C41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D429A"/>
    <w:multiLevelType w:val="multilevel"/>
    <w:tmpl w:val="97C8463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CE2C02"/>
    <w:multiLevelType w:val="multilevel"/>
    <w:tmpl w:val="2C8685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9A9"/>
    <w:rsid w:val="00191D48"/>
    <w:rsid w:val="005C41A9"/>
    <w:rsid w:val="005C7F85"/>
    <w:rsid w:val="00BD1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4ADE"/>
  <w15:chartTrackingRefBased/>
  <w15:docId w15:val="{DB9D55A3-4D69-40EB-AF9A-0AD3B829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C41A9"/>
    <w:pPr>
      <w:spacing w:after="0" w:line="240" w:lineRule="auto"/>
    </w:pPr>
    <w:rPr>
      <w:sz w:val="20"/>
      <w:szCs w:val="20"/>
    </w:rPr>
  </w:style>
  <w:style w:type="character" w:customStyle="1" w:styleId="a4">
    <w:name w:val="Текст сноски Знак"/>
    <w:basedOn w:val="a0"/>
    <w:link w:val="a3"/>
    <w:uiPriority w:val="99"/>
    <w:semiHidden/>
    <w:rsid w:val="005C41A9"/>
    <w:rPr>
      <w:sz w:val="20"/>
      <w:szCs w:val="20"/>
    </w:rPr>
  </w:style>
  <w:style w:type="character" w:styleId="a5">
    <w:name w:val="footnote reference"/>
    <w:unhideWhenUsed/>
    <w:rsid w:val="005C41A9"/>
    <w:rPr>
      <w:vertAlign w:val="superscript"/>
    </w:rPr>
  </w:style>
  <w:style w:type="character" w:customStyle="1" w:styleId="a6">
    <w:name w:val="Основной текст_"/>
    <w:basedOn w:val="a0"/>
    <w:link w:val="1"/>
    <w:rsid w:val="005C41A9"/>
    <w:rPr>
      <w:rFonts w:ascii="Times New Roman" w:eastAsia="Times New Roman" w:hAnsi="Times New Roman" w:cs="Times New Roman"/>
      <w:sz w:val="26"/>
      <w:szCs w:val="26"/>
    </w:rPr>
  </w:style>
  <w:style w:type="paragraph" w:customStyle="1" w:styleId="1">
    <w:name w:val="Основной текст1"/>
    <w:basedOn w:val="a"/>
    <w:link w:val="a6"/>
    <w:rsid w:val="005C41A9"/>
    <w:pPr>
      <w:widowControl w:val="0"/>
      <w:spacing w:after="0" w:line="240" w:lineRule="auto"/>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898</Words>
  <Characters>5125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Пигунов Николай Геннадьевич</dc:creator>
  <cp:keywords/>
  <dc:description/>
  <cp:lastModifiedBy>Пигунов Николай Геннадьевич</cp:lastModifiedBy>
  <cp:revision>2</cp:revision>
  <dcterms:created xsi:type="dcterms:W3CDTF">2021-10-13T11:22:00Z</dcterms:created>
  <dcterms:modified xsi:type="dcterms:W3CDTF">2021-10-13T11:59:00Z</dcterms:modified>
</cp:coreProperties>
</file>