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Порядок формирования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цены (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тарифа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за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предоставление доступа к инфраструктуре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678"/>
        <w:numPr>
          <w:ilvl w:val="0"/>
          <w:numId w:val="3"/>
        </w:numPr>
        <w:ind w:left="0" w:firstLine="709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ОБЩИЕ ПОЛОЖЕНИЯ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1.1.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Формирование цены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(тарифа)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предоставление доступа сторонним лицам к ВЛ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АО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Россети Северный Кавказ» (далее – Общество) для размещения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волоконно-оптических линий связи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(далее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ВОЛС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осуществляется в соответствии с Правилами недискриминационного доступа к инфраструктуре для размещения сетей электросвязи, утвержденными постановлением Правительства Российской Федерации 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.11.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2106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(далее - Правил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учетом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методи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ческих рекомендаций, утвержденных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приказом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ФАС РФ от 18.05.2023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№289/23 «Об утверждении Методических рекомендаций по установлению цены (тарифов) на предоставление доступа к инфраструктуре для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размещения сетей электросвязи»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приказом ПАО «Россети» от 08.12.2020 №560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«Об утверждении Методических рекомендаций 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формированию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цены на предоставление доступа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сторонним лицам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для размещения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ВОЛС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(в действующей редакции),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которыми: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условия доступа к ВЛ не должны зависеть от организационно-правовой формы пользователей ВЛ и их правовых отношений с Обществом;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плата за предоставление доступа к ВЛ должна устанавливаться на уровне, обеспечивающем компенсацию экономически обоснованных затрат и необходимую прибыль Общества;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цены (тарифы)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предоставление доступа к ВЛ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для размещения сетей электросвязи в сопост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авимых условиях устанавливаются владельцем инфраструктуры равными для всех пользователей инфраструктуры, заинтересованных в доступе к определенному виду объектов инфраструктуры или их части и предполагающих использовать объекты инфраструктуры или их часть.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1.2. Плата за предоставление доступа сторонним лицам к ВЛ Общества для размещения ВОЛС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обеспечивает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1.2.1. Возмещение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прямых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затрат Общества на проведение работ по техническому обслуживанию и ремонту (далее - ТОиР)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объектов инфраструктуры и работ, связанных с переносом, переустройством сетей электросвязи вследствие капитального ремонта, модернизации, реконструкции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переустройства объектов инфраст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уктуры для размещения сетей связи.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1.2.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 Возмещение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косвенных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расходов Общества.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1.2.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Необходим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прибыль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Общества от предоставления доступа к ВЛ для размещения ВОЛС.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1.3. Возмещение затрат на проведение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работ по ТОиР ВЛ,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затрат на сохранение целостности ВОЛС сторонних лиц,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накладных расходов и получение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необходимой прибыли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осуществляется периодическими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платежами за предоставление доступа сторонним лицам к ВЛ Общества для размещения ВОЛС.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1.4. Периодические платежи за предоставление доступа к ВЛ взимаются, начиная с даты подписания акта, по которому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предоставляется доступ 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конструктивны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элемент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ВЛ, используемы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для размещения ВОЛС. При этом дата подписания указанного акта должна предшествовать началу СМР по размещению ВОЛС на используемой ВЛ.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1.5. Размер периодических платежей за предоставление доступа сторонним лицам к ВЛ Общества для размещения ВОЛС рассчитывается с использованием цены,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определяющей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размер платы за использование в течение одного месяца конструктивных элементов одной опоры ВЛ для размещения ВОЛС (далее - Цена).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1.6. При формировании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арифа)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учитывается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уровень напряжения используемой ВЛ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78"/>
        <w:numPr>
          <w:ilvl w:val="0"/>
          <w:numId w:val="3"/>
        </w:numPr>
        <w:ind w:left="0" w:firstLine="709"/>
        <w:jc w:val="both"/>
        <w:spacing w:after="0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РАСЧЕТ ЦЕНЫ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(ТАРИФА)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ПРЕДОСТАВЛЕНИЕ ДОСТУПА К ВЛ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ДЛЯ РАЗМЕЩЕНИЯ СЕТЕЙ ЭЛЕКТРОСВЯЗИ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Цены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арифы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на предоставлени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 доступа 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инфраструктур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ПАО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«Россети Северный Кавказ»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воздушны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ям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электропередачи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для размещения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сетей электросвязи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устанавливаются в российских рублях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 уровне, обеспечивающем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возмещение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экономически обоснованных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расходов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 предоставление доступа 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инфраструктур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 Общества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получение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необходимой прибыли в соответствии с требованием п.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9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Правил.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/>
        <w:widowControl w:val="off"/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2.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состав цены (тарифа) на предоставление доступа к воздушны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ям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электропередачи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Общества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включаю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экономически обоснован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ные расходы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прямые 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косвенные) с использованием фактических данных, 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также необходим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прибыль.</w:t>
      </w:r>
      <w:r>
        <w:t xml:space="preserve"> </w:t>
      </w:r>
      <w:r/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2.2.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 прямым расходам относятся расходы: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а) по проведению работ, связанных с техническим обслуживанием, ремонтом объектов инфраструктуры (ТОиР);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б) по проведению работ, связанных с переносом, переустройством сетей электросвязи вследс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твие капитального ремонта, модернизации, реконструкции, переустройства объектов инфраструктуры для размещения сетей электросвязи, если в соответствии с договором ответственность за проведение таких работ возлагается на владельца инфраструктуры за его счет.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состав косвенных расходов включены расходы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общехозяйственного и общепроизводственного назначения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 В цене (тарифе) косвенные расходы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определяются пропорционально прямым расходам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2.4. Необходимая прибыль определяется исходя из достаточности для обеспечения расширенного воспроизводства основных фондов и возмещения налоговых и неналоговых платежей, уплачиваемых в соответствии с законодательством из прибыли.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АО «Россети Цифра» осуществляет функции коммерческого представителя ПАО «Россети Северный Кавказ» для целей заключения и исполнения договоров размещения сетей электросвязи (их элементов) на объектах электроэнергетики.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  <w:t xml:space="preserve">В целях получения доступа к объектам электросетевого хозяйства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ПАО «Россети Северный Кавказ»</w:t>
      </w:r>
      <w:r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заявитель (оператор, пользователь) обращается в адрес АО «Россети Цифра».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  <w:t xml:space="preserve">В соответствии с п. 16 Правил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ПАО «Россети Северный Кавказ»</w:t>
      </w:r>
      <w:r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вправе взимать плату за предоставление информации, предусмотренной пунктом 13 Правил, только в случае выполнения работ по осмотру, измерению, обследованию объекта инфраструктуры, необходимых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для предоставления информации. Цена (тариф) на предоставление сопоставимой по объему и характеру информации установлена одинаковой для всех пользователей инфраструктуры и размещена на официальном сайте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ПАО «Россети Северный Кавказ»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в разделе «Потребителям» -  « Тарифы на предоставление доступа сторонним лицам к ВЛ для размещения ВОЛС».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678"/>
        <w:ind w:left="0" w:firstLine="720"/>
        <w:jc w:val="both"/>
        <w:spacing w:after="0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5" w:right="850" w:bottom="1276" w:left="1701" w:header="708" w:footer="708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Segoe UI">
    <w:panose1 w:val="020B0503020203020204"/>
  </w:font>
  <w:font w:name="Georgia">
    <w:panose1 w:val="020405020504050203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suff w:val="tab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72"/>
    <w:link w:val="66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72"/>
    <w:link w:val="66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72"/>
    <w:link w:val="668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72"/>
    <w:link w:val="66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72"/>
    <w:link w:val="670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72"/>
    <w:link w:val="671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65"/>
    <w:next w:val="66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65"/>
    <w:next w:val="66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65"/>
    <w:next w:val="66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72"/>
    <w:link w:val="676"/>
    <w:uiPriority w:val="10"/>
    <w:rPr>
      <w:sz w:val="48"/>
      <w:szCs w:val="48"/>
    </w:rPr>
  </w:style>
  <w:style w:type="character" w:styleId="37">
    <w:name w:val="Subtitle Char"/>
    <w:basedOn w:val="672"/>
    <w:link w:val="677"/>
    <w:uiPriority w:val="11"/>
    <w:rPr>
      <w:sz w:val="24"/>
      <w:szCs w:val="24"/>
    </w:rPr>
  </w:style>
  <w:style w:type="paragraph" w:styleId="38">
    <w:name w:val="Quote"/>
    <w:basedOn w:val="665"/>
    <w:next w:val="66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65"/>
    <w:next w:val="66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65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72"/>
    <w:link w:val="42"/>
    <w:uiPriority w:val="99"/>
  </w:style>
  <w:style w:type="paragraph" w:styleId="44">
    <w:name w:val="Footer"/>
    <w:basedOn w:val="665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72"/>
    <w:link w:val="44"/>
    <w:uiPriority w:val="99"/>
  </w:style>
  <w:style w:type="paragraph" w:styleId="46">
    <w:name w:val="Caption"/>
    <w:basedOn w:val="665"/>
    <w:next w:val="66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character" w:styleId="176">
    <w:name w:val="Footnote Text Char"/>
    <w:link w:val="687"/>
    <w:uiPriority w:val="99"/>
    <w:rPr>
      <w:sz w:val="18"/>
    </w:rPr>
  </w:style>
  <w:style w:type="paragraph" w:styleId="178">
    <w:name w:val="endnote text"/>
    <w:basedOn w:val="66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2"/>
    <w:uiPriority w:val="99"/>
    <w:semiHidden/>
    <w:unhideWhenUsed/>
    <w:rPr>
      <w:vertAlign w:val="superscript"/>
    </w:rPr>
  </w:style>
  <w:style w:type="paragraph" w:styleId="181">
    <w:name w:val="toc 1"/>
    <w:basedOn w:val="665"/>
    <w:next w:val="66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65"/>
    <w:next w:val="66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65"/>
    <w:next w:val="66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65"/>
    <w:next w:val="66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65"/>
    <w:next w:val="66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65"/>
    <w:next w:val="66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65"/>
    <w:next w:val="66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65"/>
    <w:next w:val="66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65"/>
    <w:next w:val="66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65"/>
    <w:next w:val="665"/>
    <w:uiPriority w:val="99"/>
    <w:unhideWhenUsed/>
    <w:pPr>
      <w:spacing w:after="0" w:afterAutospacing="0"/>
    </w:pPr>
  </w:style>
  <w:style w:type="paragraph" w:styleId="665" w:default="1">
    <w:name w:val="Normal"/>
  </w:style>
  <w:style w:type="paragraph" w:styleId="666">
    <w:name w:val="Heading 1"/>
    <w:basedOn w:val="665"/>
    <w:next w:val="665"/>
    <w:pPr>
      <w:keepLines/>
      <w:keepNext/>
      <w:spacing w:before="480" w:after="120"/>
      <w:outlineLvl w:val="0"/>
    </w:pPr>
    <w:rPr>
      <w:b/>
      <w:sz w:val="48"/>
      <w:szCs w:val="48"/>
    </w:rPr>
  </w:style>
  <w:style w:type="paragraph" w:styleId="667">
    <w:name w:val="Heading 2"/>
    <w:basedOn w:val="665"/>
    <w:next w:val="665"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668">
    <w:name w:val="Heading 3"/>
    <w:basedOn w:val="665"/>
    <w:next w:val="665"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669">
    <w:name w:val="Heading 4"/>
    <w:basedOn w:val="665"/>
    <w:next w:val="665"/>
    <w:pPr>
      <w:keepLines/>
      <w:keepNext/>
      <w:spacing w:before="240" w:after="40"/>
      <w:outlineLvl w:val="3"/>
    </w:pPr>
    <w:rPr>
      <w:b/>
      <w:sz w:val="24"/>
      <w:szCs w:val="24"/>
    </w:rPr>
  </w:style>
  <w:style w:type="paragraph" w:styleId="670">
    <w:name w:val="Heading 5"/>
    <w:basedOn w:val="665"/>
    <w:next w:val="665"/>
    <w:pPr>
      <w:keepLines/>
      <w:keepNext/>
      <w:spacing w:before="220" w:after="40"/>
      <w:outlineLvl w:val="4"/>
    </w:pPr>
    <w:rPr>
      <w:b/>
    </w:rPr>
  </w:style>
  <w:style w:type="paragraph" w:styleId="671">
    <w:name w:val="Heading 6"/>
    <w:basedOn w:val="665"/>
    <w:next w:val="665"/>
    <w:pPr>
      <w:keepLines/>
      <w:keepNext/>
      <w:spacing w:before="200" w:after="40"/>
      <w:outlineLvl w:val="5"/>
    </w:pPr>
    <w:rPr>
      <w:b/>
      <w:sz w:val="20"/>
      <w:szCs w:val="20"/>
    </w:rPr>
  </w:style>
  <w:style w:type="character" w:styleId="672" w:default="1">
    <w:name w:val="Default Paragraph Font"/>
    <w:uiPriority w:val="1"/>
    <w:semiHidden/>
    <w:unhideWhenUsed/>
  </w:style>
  <w:style w:type="table" w:styleId="6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4" w:default="1">
    <w:name w:val="No List"/>
    <w:uiPriority w:val="99"/>
    <w:semiHidden/>
    <w:unhideWhenUsed/>
  </w:style>
  <w:style w:type="table" w:styleId="675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676">
    <w:name w:val="Title"/>
    <w:basedOn w:val="665"/>
    <w:next w:val="665"/>
    <w:pPr>
      <w:keepLines/>
      <w:keepNext/>
      <w:spacing w:before="480" w:after="120"/>
    </w:pPr>
    <w:rPr>
      <w:b/>
      <w:sz w:val="72"/>
      <w:szCs w:val="72"/>
    </w:rPr>
  </w:style>
  <w:style w:type="paragraph" w:styleId="677">
    <w:name w:val="Subtitle"/>
    <w:basedOn w:val="665"/>
    <w:next w:val="665"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678">
    <w:name w:val="List Paragraph"/>
    <w:basedOn w:val="665"/>
    <w:uiPriority w:val="34"/>
    <w:qFormat/>
    <w:pPr>
      <w:contextualSpacing/>
      <w:ind w:left="720"/>
    </w:pPr>
  </w:style>
  <w:style w:type="table" w:styleId="679">
    <w:name w:val="Table Grid"/>
    <w:basedOn w:val="67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80">
    <w:name w:val="Balloon Text"/>
    <w:basedOn w:val="665"/>
    <w:link w:val="68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81" w:customStyle="1">
    <w:name w:val="Текст выноски Знак"/>
    <w:basedOn w:val="672"/>
    <w:link w:val="680"/>
    <w:uiPriority w:val="99"/>
    <w:semiHidden/>
    <w:rPr>
      <w:rFonts w:ascii="Segoe UI" w:hAnsi="Segoe UI" w:cs="Segoe UI"/>
      <w:sz w:val="18"/>
      <w:szCs w:val="18"/>
    </w:rPr>
  </w:style>
  <w:style w:type="character" w:styleId="682">
    <w:name w:val="annotation reference"/>
    <w:basedOn w:val="672"/>
    <w:uiPriority w:val="99"/>
    <w:semiHidden/>
    <w:unhideWhenUsed/>
    <w:rPr>
      <w:sz w:val="16"/>
      <w:szCs w:val="16"/>
    </w:rPr>
  </w:style>
  <w:style w:type="paragraph" w:styleId="683">
    <w:name w:val="annotation text"/>
    <w:basedOn w:val="665"/>
    <w:link w:val="684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684" w:customStyle="1">
    <w:name w:val="Текст примечания Знак"/>
    <w:basedOn w:val="672"/>
    <w:link w:val="683"/>
    <w:uiPriority w:val="99"/>
    <w:semiHidden/>
    <w:rPr>
      <w:sz w:val="20"/>
      <w:szCs w:val="20"/>
    </w:rPr>
  </w:style>
  <w:style w:type="paragraph" w:styleId="685">
    <w:name w:val="annotation subject"/>
    <w:basedOn w:val="683"/>
    <w:next w:val="683"/>
    <w:link w:val="686"/>
    <w:uiPriority w:val="99"/>
    <w:semiHidden/>
    <w:unhideWhenUsed/>
    <w:rPr>
      <w:b/>
      <w:bCs/>
    </w:rPr>
  </w:style>
  <w:style w:type="character" w:styleId="686" w:customStyle="1">
    <w:name w:val="Тема примечания Знак"/>
    <w:basedOn w:val="684"/>
    <w:link w:val="685"/>
    <w:uiPriority w:val="99"/>
    <w:semiHidden/>
    <w:rPr>
      <w:b/>
      <w:bCs/>
      <w:sz w:val="20"/>
      <w:szCs w:val="20"/>
    </w:rPr>
  </w:style>
  <w:style w:type="paragraph" w:styleId="687">
    <w:name w:val="footnote text"/>
    <w:basedOn w:val="665"/>
    <w:link w:val="688"/>
    <w:unhideWhenUsed/>
    <w:rPr>
      <w:rFonts w:cs="Times New Roman"/>
      <w:sz w:val="20"/>
      <w:szCs w:val="20"/>
      <w:lang w:eastAsia="en-US"/>
    </w:rPr>
  </w:style>
  <w:style w:type="character" w:styleId="688" w:customStyle="1">
    <w:name w:val="Текст сноски Знак"/>
    <w:basedOn w:val="672"/>
    <w:link w:val="687"/>
    <w:rPr>
      <w:rFonts w:cs="Times New Roman"/>
      <w:sz w:val="20"/>
      <w:szCs w:val="20"/>
      <w:lang w:eastAsia="en-US"/>
    </w:rPr>
  </w:style>
  <w:style w:type="character" w:styleId="689">
    <w:name w:val="footnote reference"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3B08F-1F7E-40DA-9CDF-7B8E2A86F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Баранова Ирина Петровна</dc:creator>
  <cp:revision>19</cp:revision>
  <dcterms:created xsi:type="dcterms:W3CDTF">2023-08-30T12:06:00Z</dcterms:created>
  <dcterms:modified xsi:type="dcterms:W3CDTF">2025-08-25T09:42:30Z</dcterms:modified>
</cp:coreProperties>
</file>