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"/>
        <w:jc w:val="both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38350" cy="5619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95390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038349" cy="5619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0.50pt;height:44.2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ind w:right="1"/>
        <w:jc w:val="both"/>
      </w:pPr>
      <w:r/>
      <w:r/>
    </w:p>
    <w:p>
      <w:pPr>
        <w:ind w:right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"/>
        <w:jc w:val="center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Памятка о соблюдении максимальной мощности электропотребления</w:t>
      </w: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540"/>
        <w:jc w:val="both"/>
        <w:spacing w:before="0" w:after="0" w:line="288" w:lineRule="atLeast"/>
        <w:rPr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 соответствии с п.2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Правил технологического присоединения, утвержденных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</w:t>
      </w:r>
      <w:r>
        <w:rPr>
          <w:rFonts w:ascii="Times New Roman" w:hAnsi="Times New Roman" w:cs="Times New Roman"/>
          <w:sz w:val="26"/>
          <w:szCs w:val="26"/>
        </w:rPr>
        <w:t xml:space="preserve"> РФ от 27.12.2004 № 861</w:t>
      </w:r>
      <w:r>
        <w:rPr>
          <w:rFonts w:ascii="Times New Roman" w:hAnsi="Times New Roman" w:cs="Times New Roman"/>
          <w:sz w:val="26"/>
          <w:szCs w:val="26"/>
        </w:rPr>
        <w:t xml:space="preserve">, под «максимальной мощностью»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понимается наибольшая величина мощности, определенная к одномоментному использованию энергопринимающими устройствами в соответствии с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u w:val="none"/>
        </w:rPr>
        <w:t xml:space="preserve">документами о технологическом присоединении (договор, технические условия, акт)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, в пределах которой сетевая организация принимает на себя обязанность обеспечить передачу электрической энергии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right="1"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п. 2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Постановления Правительства РФ 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энергии», </w:t>
      </w:r>
      <w:r>
        <w:rPr>
          <w:rFonts w:ascii="Times New Roman" w:hAnsi="Times New Roman" w:cs="Times New Roman"/>
          <w:sz w:val="26"/>
          <w:szCs w:val="26"/>
        </w:rPr>
        <w:t xml:space="preserve">нарушение потребителем своих обязательств, в том числе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арушение характеристик технологического присоединения, указанных в документах о технологическом присоединении (в том числе превышение максимальной мощности энергопринимающего устройства потребителя), вызванное подключением потребителем к принадлежащим ему </w:t>
      </w:r>
      <w:r>
        <w:rPr>
          <w:rFonts w:ascii="Times New Roman" w:hAnsi="Times New Roman" w:cs="Times New Roman"/>
          <w:sz w:val="26"/>
          <w:szCs w:val="26"/>
        </w:rPr>
        <w:t xml:space="preserve">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является основанием для 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граничения режима потребления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right="1"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этим </w:t>
      </w:r>
      <w:r>
        <w:rPr>
          <w:rFonts w:ascii="Times New Roman" w:hAnsi="Times New Roman" w:cs="Times New Roman"/>
          <w:sz w:val="26"/>
          <w:szCs w:val="26"/>
        </w:rPr>
        <w:t xml:space="preserve">сетевая организация вправе инициировать введение полного и (или) частичного ог</w:t>
      </w:r>
      <w:r>
        <w:rPr>
          <w:rFonts w:ascii="Times New Roman" w:hAnsi="Times New Roman" w:cs="Times New Roman"/>
          <w:sz w:val="26"/>
          <w:szCs w:val="26"/>
        </w:rPr>
        <w:t xml:space="preserve">раничения режима потребления электрической энергии в отношении потребителя электрической энергии (мощности) без расторжения договора оказания услуг по передаче электрической энергии и не освобождает потребителя от ответственности за ненадлежащее исполнение</w:t>
      </w:r>
      <w:r>
        <w:rPr>
          <w:rFonts w:ascii="Times New Roman" w:hAnsi="Times New Roman" w:cs="Times New Roman"/>
          <w:sz w:val="26"/>
          <w:szCs w:val="26"/>
        </w:rPr>
        <w:t xml:space="preserve"> потребителем электрической энергии (мощности) своих обязательств по такому договору.</w:t>
      </w:r>
      <w:r>
        <w:rPr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1"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обеспечения бесперебойного и безопасного энергоснабжения будет установлено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ограничение потребляемой мощности на приборах учёта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условиями договора </w:t>
      </w:r>
      <w:r>
        <w:rPr>
          <w:rFonts w:ascii="Times New Roman" w:hAnsi="Times New Roman" w:cs="Times New Roman"/>
          <w:sz w:val="26"/>
          <w:szCs w:val="26"/>
        </w:rPr>
        <w:t xml:space="preserve">технологического присоединения.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1"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мощность электроустановок потребителя превышает максимальную, потребителю необходимо обратиться в сетевую организацию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посредством Портала электросетевых услуг (П</w:t>
      </w:r>
      <w:r>
        <w:rPr>
          <w:rFonts w:ascii="Times New Roman" w:hAnsi="Times New Roman" w:cs="Times New Roman"/>
          <w:sz w:val="26"/>
          <w:szCs w:val="26"/>
        </w:rPr>
        <w:t xml:space="preserve">ортал-тп.рф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 xml:space="preserve">заяв</w:t>
      </w:r>
      <w:r>
        <w:rPr>
          <w:rFonts w:ascii="Times New Roman" w:hAnsi="Times New Roman" w:cs="Times New Roman"/>
          <w:sz w:val="26"/>
          <w:szCs w:val="26"/>
        </w:rPr>
        <w:t xml:space="preserve">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увеличени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 максимальной мощности </w:t>
      </w:r>
      <w:r>
        <w:rPr>
          <w:rFonts w:ascii="Times New Roman" w:hAnsi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соответствии с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Правилами технологического присоединения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4"/>
    <w:uiPriority w:val="10"/>
    <w:rPr>
      <w:sz w:val="48"/>
      <w:szCs w:val="48"/>
    </w:rPr>
  </w:style>
  <w:style w:type="character" w:styleId="664">
    <w:name w:val="Subtitle Char"/>
    <w:basedOn w:val="682"/>
    <w:link w:val="696"/>
    <w:uiPriority w:val="11"/>
    <w:rPr>
      <w:sz w:val="24"/>
      <w:szCs w:val="24"/>
    </w:rPr>
  </w:style>
  <w:style w:type="character" w:styleId="665">
    <w:name w:val="Quote Char"/>
    <w:link w:val="698"/>
    <w:uiPriority w:val="29"/>
    <w:rPr>
      <w:i/>
    </w:rPr>
  </w:style>
  <w:style w:type="character" w:styleId="666">
    <w:name w:val="Intense Quote Char"/>
    <w:link w:val="700"/>
    <w:uiPriority w:val="30"/>
    <w:rPr>
      <w:i/>
    </w:rPr>
  </w:style>
  <w:style w:type="character" w:styleId="667">
    <w:name w:val="Header Char"/>
    <w:basedOn w:val="682"/>
    <w:link w:val="702"/>
    <w:uiPriority w:val="99"/>
  </w:style>
  <w:style w:type="character" w:styleId="668">
    <w:name w:val="Footer Char"/>
    <w:basedOn w:val="682"/>
    <w:link w:val="704"/>
    <w:uiPriority w:val="99"/>
  </w:style>
  <w:style w:type="character" w:styleId="669">
    <w:name w:val="Caption Char"/>
    <w:basedOn w:val="682"/>
    <w:link w:val="706"/>
    <w:uiPriority w:val="35"/>
    <w:rPr>
      <w:b/>
      <w:bCs/>
      <w:color w:val="4f81bd" w:themeColor="accent1"/>
      <w:sz w:val="18"/>
      <w:szCs w:val="18"/>
    </w:rPr>
  </w:style>
  <w:style w:type="character" w:styleId="670">
    <w:name w:val="Footnote Text Char"/>
    <w:link w:val="835"/>
    <w:uiPriority w:val="99"/>
    <w:rPr>
      <w:sz w:val="18"/>
    </w:rPr>
  </w:style>
  <w:style w:type="character" w:styleId="671">
    <w:name w:val="Endnote Text Char"/>
    <w:link w:val="838"/>
    <w:uiPriority w:val="99"/>
    <w:rPr>
      <w:sz w:val="20"/>
    </w:r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672"/>
    <w:next w:val="672"/>
    <w:link w:val="695"/>
    <w:uiPriority w:val="10"/>
    <w:qFormat/>
    <w:pPr>
      <w:contextualSpacing/>
      <w:spacing w:before="300"/>
    </w:pPr>
    <w:rPr>
      <w:sz w:val="48"/>
      <w:szCs w:val="48"/>
    </w:rPr>
  </w:style>
  <w:style w:type="character" w:styleId="695" w:customStyle="1">
    <w:name w:val="Заголовок Знак"/>
    <w:link w:val="694"/>
    <w:uiPriority w:val="10"/>
    <w:rPr>
      <w:sz w:val="48"/>
      <w:szCs w:val="48"/>
    </w:rPr>
  </w:style>
  <w:style w:type="paragraph" w:styleId="696">
    <w:name w:val="Subtitle"/>
    <w:basedOn w:val="672"/>
    <w:next w:val="672"/>
    <w:link w:val="697"/>
    <w:uiPriority w:val="11"/>
    <w:qFormat/>
    <w:pPr>
      <w:spacing w:before="200"/>
    </w:pPr>
    <w:rPr>
      <w:sz w:val="24"/>
      <w:szCs w:val="24"/>
    </w:rPr>
  </w:style>
  <w:style w:type="character" w:styleId="697" w:customStyle="1">
    <w:name w:val="Подзаголовок Знак"/>
    <w:link w:val="696"/>
    <w:uiPriority w:val="11"/>
    <w:rPr>
      <w:sz w:val="24"/>
      <w:szCs w:val="24"/>
    </w:rPr>
  </w:style>
  <w:style w:type="paragraph" w:styleId="698">
    <w:name w:val="Quote"/>
    <w:basedOn w:val="672"/>
    <w:next w:val="672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72"/>
    <w:next w:val="672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7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link w:val="702"/>
    <w:uiPriority w:val="99"/>
  </w:style>
  <w:style w:type="paragraph" w:styleId="704">
    <w:name w:val="Footer"/>
    <w:basedOn w:val="67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Нижний колонтитул Знак"/>
    <w:link w:val="704"/>
    <w:uiPriority w:val="99"/>
  </w:style>
  <w:style w:type="paragraph" w:styleId="706">
    <w:name w:val="Caption"/>
    <w:basedOn w:val="672"/>
    <w:next w:val="672"/>
    <w:link w:val="70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7" w:customStyle="1">
    <w:name w:val="Название объекта Знак"/>
    <w:link w:val="706"/>
    <w:uiPriority w:val="35"/>
    <w:rPr>
      <w:b/>
      <w:bCs/>
      <w:color w:val="5b9bd5" w:themeColor="accent1"/>
      <w:sz w:val="18"/>
      <w:szCs w:val="18"/>
    </w:rPr>
  </w:style>
  <w:style w:type="table" w:styleId="708">
    <w:name w:val="Table Grid"/>
    <w:basedOn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9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8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9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0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1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2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2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3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4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5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1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2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3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4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5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5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6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7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8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9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0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9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0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1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2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3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563c1" w:themeColor="hyperlink"/>
      <w:u w:val="single"/>
    </w:rPr>
  </w:style>
  <w:style w:type="paragraph" w:styleId="835">
    <w:name w:val="footnote text"/>
    <w:basedOn w:val="67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67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672"/>
    <w:next w:val="672"/>
    <w:uiPriority w:val="39"/>
    <w:unhideWhenUsed/>
    <w:pPr>
      <w:spacing w:after="57"/>
    </w:pPr>
  </w:style>
  <w:style w:type="paragraph" w:styleId="842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3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4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5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6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7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8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9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2"/>
    <w:next w:val="672"/>
    <w:uiPriority w:val="99"/>
    <w:unhideWhenUsed/>
    <w:pPr>
      <w:spacing w:after="0"/>
    </w:pPr>
  </w:style>
  <w:style w:type="paragraph" w:styleId="852">
    <w:name w:val="No Spacing"/>
    <w:basedOn w:val="672"/>
    <w:uiPriority w:val="1"/>
    <w:qFormat/>
    <w:pPr>
      <w:spacing w:after="0" w:line="240" w:lineRule="auto"/>
    </w:pPr>
  </w:style>
  <w:style w:type="paragraph" w:styleId="853">
    <w:name w:val="List Paragraph"/>
    <w:basedOn w:val="67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zaparivannaya-in</cp:lastModifiedBy>
  <cp:revision>3</cp:revision>
  <dcterms:created xsi:type="dcterms:W3CDTF">2025-12-09T14:20:00Z</dcterms:created>
  <dcterms:modified xsi:type="dcterms:W3CDTF">2025-12-17T08:22:51Z</dcterms:modified>
</cp:coreProperties>
</file>