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70"/>
        <w:rPr>
          <w:lang w:eastAsia="ar-SA"/>
        </w:rPr>
      </w:pPr>
      <w:r>
        <w:rPr>
          <w:bCs/>
          <w:lang w:eastAsia="ar-SA"/>
        </w:rPr>
        <w:t xml:space="preserve">Приложение 1 к приказу</w:t>
      </w:r>
      <w:r>
        <w:rPr>
          <w:lang w:eastAsia="ar-SA"/>
        </w:rPr>
      </w:r>
    </w:p>
    <w:p>
      <w:pPr>
        <w:ind w:left="5670"/>
        <w:rPr>
          <w:bCs/>
          <w:lang w:eastAsia="ar-SA"/>
        </w:rPr>
      </w:pPr>
      <w:r>
        <w:rPr>
          <w:bCs/>
          <w:lang w:eastAsia="ar-SA"/>
        </w:rPr>
        <w:t xml:space="preserve">ПАО «Россети Северный Кавказ»</w:t>
      </w:r>
      <w:r>
        <w:rPr>
          <w:bCs/>
          <w:lang w:eastAsia="ar-SA"/>
        </w:rPr>
      </w:r>
    </w:p>
    <w:p>
      <w:pPr>
        <w:ind w:left="5670"/>
      </w:pPr>
      <w:r>
        <w:rPr>
          <w:bCs/>
          <w:lang w:eastAsia="ar-SA"/>
        </w:rPr>
        <w:t xml:space="preserve">от </w:t>
      </w:r>
      <w:r>
        <w:rPr>
          <w:bCs/>
          <w:lang w:eastAsia="ar-SA"/>
        </w:rPr>
        <w:t xml:space="preserve">21.11.2024 № 363</w:t>
      </w:r>
      <w:r/>
    </w:p>
    <w:p>
      <w:pPr>
        <w:ind w:firstLine="709"/>
        <w:jc w:val="center"/>
        <w:rPr>
          <w:rFonts w:eastAsia="Calibri"/>
          <w:sz w:val="28"/>
          <w:szCs w:val="20"/>
        </w:rPr>
      </w:pPr>
      <w:r>
        <w:rPr>
          <w:rFonts w:eastAsia="Calibri"/>
          <w:sz w:val="28"/>
          <w:szCs w:val="20"/>
        </w:rPr>
      </w:r>
      <w:r>
        <w:rPr>
          <w:rFonts w:eastAsia="Calibri"/>
          <w:sz w:val="28"/>
          <w:szCs w:val="20"/>
        </w:rPr>
      </w:r>
    </w:p>
    <w:p>
      <w:pPr>
        <w:ind w:firstLine="709"/>
      </w:pPr>
      <w:r/>
      <w:r/>
    </w:p>
    <w:p>
      <w:pPr>
        <w:ind w:firstLine="709"/>
      </w:pPr>
      <w:r>
        <w:rPr>
          <w:sz w:val="20"/>
        </w:rPr>
        <w:t xml:space="preserve">  </w:t>
      </w:r>
      <w:r/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взаимодействия с застройщиками МКД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 организации учета электроэнергии в филиалах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ПАО «Россети Северный Кавказ» и АО «Чеченэнерго»</w:t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spacing w:line="259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</w:r>
    </w:p>
    <w:p>
      <w:pPr>
        <w:spacing w:line="259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spacing w:line="259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</w:p>
    <w:p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spacing w:line="259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</w:p>
    <w:p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59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spacing w:after="101" w:line="259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left="891"/>
        <w:jc w:val="center"/>
        <w:spacing w:line="259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891"/>
        <w:jc w:val="center"/>
        <w:spacing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891"/>
        <w:jc w:val="center"/>
        <w:spacing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891"/>
        <w:jc w:val="center"/>
        <w:spacing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891"/>
        <w:jc w:val="center"/>
        <w:spacing w:line="259" w:lineRule="auto"/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</w:r>
      <w:r>
        <w:rPr>
          <w:b/>
          <w:bCs/>
          <w:sz w:val="22"/>
          <w:szCs w:val="28"/>
        </w:rPr>
      </w:r>
    </w:p>
    <w:p>
      <w:pPr>
        <w:jc w:val="center"/>
        <w:spacing w:line="259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59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59" w:lineRule="auto"/>
        <w:rPr>
          <w:b/>
          <w:bCs/>
          <w:sz w:val="2"/>
        </w:rPr>
      </w:pPr>
      <w:r>
        <w:rPr>
          <w:b/>
          <w:bCs/>
          <w:sz w:val="2"/>
        </w:rPr>
      </w:r>
      <w:r>
        <w:rPr>
          <w:b/>
          <w:bCs/>
          <w:sz w:val="2"/>
        </w:rPr>
      </w:r>
    </w:p>
    <w:p>
      <w:pPr>
        <w:jc w:val="center"/>
        <w:spacing w:line="259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59" w:lineRule="auto"/>
        <w:rPr>
          <w:bCs/>
          <w:sz w:val="28"/>
        </w:rPr>
      </w:pPr>
      <w:r>
        <w:rPr>
          <w:sz w:val="28"/>
        </w:rPr>
        <w:t xml:space="preserve">Пятигорск</w:t>
      </w:r>
      <w:r>
        <w:rPr>
          <w:bCs/>
          <w:sz w:val="28"/>
        </w:rPr>
      </w:r>
    </w:p>
    <w:p>
      <w:pPr>
        <w:jc w:val="center"/>
        <w:spacing w:line="259" w:lineRule="auto"/>
        <w:rPr>
          <w:bCs/>
          <w:sz w:val="32"/>
          <w:szCs w:val="28"/>
        </w:rPr>
      </w:pPr>
      <w:r>
        <w:rPr>
          <w:sz w:val="28"/>
        </w:rPr>
        <w:t xml:space="preserve">2024</w:t>
      </w:r>
      <w:r>
        <w:rPr>
          <w:bCs/>
          <w:sz w:val="32"/>
          <w:szCs w:val="28"/>
        </w:rPr>
      </w:r>
    </w:p>
    <w:p>
      <w:pPr>
        <w:ind w:firstLine="567"/>
        <w:jc w:val="center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Оглавление </w:t>
      </w:r>
      <w:r>
        <w:rPr>
          <w:b/>
          <w:sz w:val="28"/>
          <w:szCs w:val="28"/>
        </w:rPr>
      </w:r>
    </w:p>
    <w:p>
      <w:pPr>
        <w:ind w:firstLine="567"/>
        <w:jc w:val="center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7"/>
        <w:ind w:left="0" w:right="0" w:firstLine="0"/>
        <w:spacing w:after="0" w:line="240" w:lineRule="auto"/>
        <w:tabs>
          <w:tab w:val="left" w:pos="851" w:leader="none"/>
          <w:tab w:val="right" w:pos="10538" w:leader="dot"/>
        </w:tabs>
        <w:rPr>
          <w:sz w:val="28"/>
          <w:szCs w:val="28"/>
          <w:lang w:val="ru-RU"/>
        </w:rPr>
      </w:pPr>
      <w:r/>
      <w:hyperlink w:tooltip="#_Toc84426" w:anchor="_Toc84426" w:history="1">
        <w:r>
          <w:rPr>
            <w:sz w:val="28"/>
            <w:szCs w:val="28"/>
            <w:lang w:val="ru-RU"/>
          </w:rPr>
          <w:t xml:space="preserve">1.</w:t>
        </w:r>
        <w:r>
          <w:rPr>
            <w:rFonts w:eastAsia="Arial"/>
            <w:sz w:val="28"/>
            <w:szCs w:val="28"/>
            <w:lang w:val="ru-RU"/>
          </w:rPr>
          <w:t xml:space="preserve"> </w:t>
        </w:r>
        <w:r>
          <w:rPr>
            <w:sz w:val="28"/>
            <w:szCs w:val="28"/>
            <w:lang w:val="ru-RU"/>
          </w:rPr>
          <w:t xml:space="preserve">Общие положения</w:t>
        </w:r>
        <w:r>
          <w:rPr>
            <w:sz w:val="28"/>
            <w:szCs w:val="28"/>
            <w:lang w:val="ru-RU"/>
          </w:rPr>
          <w:tab/>
          <w:t xml:space="preserve">5</w:t>
        </w:r>
      </w:hyperlink>
      <w:r/>
      <w:r>
        <w:rPr>
          <w:sz w:val="28"/>
          <w:szCs w:val="28"/>
          <w:lang w:val="ru-RU"/>
        </w:rPr>
      </w:r>
    </w:p>
    <w:p>
      <w:pPr>
        <w:pStyle w:val="987"/>
        <w:ind w:left="0" w:right="0" w:firstLine="0"/>
        <w:spacing w:after="0" w:line="240" w:lineRule="auto"/>
        <w:tabs>
          <w:tab w:val="left" w:pos="851" w:leader="none"/>
          <w:tab w:val="right" w:pos="10538" w:leader="dot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Порядок согласования технических решений и требований к приборам       учета застройщика………………………………………………………………….6</w:t>
      </w:r>
      <w:r>
        <w:rPr>
          <w:sz w:val="28"/>
          <w:szCs w:val="28"/>
          <w:lang w:val="ru-RU"/>
        </w:rPr>
      </w:r>
    </w:p>
    <w:p>
      <w:pPr>
        <w:pStyle w:val="987"/>
        <w:ind w:left="0" w:right="0" w:firstLine="0"/>
        <w:spacing w:after="0" w:line="240" w:lineRule="auto"/>
        <w:tabs>
          <w:tab w:val="left" w:pos="851" w:leader="none"/>
          <w:tab w:val="right" w:pos="10538" w:leader="dot"/>
        </w:tabs>
        <w:rPr>
          <w:sz w:val="28"/>
          <w:szCs w:val="28"/>
          <w:lang w:val="ru-RU"/>
        </w:rPr>
      </w:pPr>
      <w:r/>
      <w:hyperlink w:tooltip="#_Toc84427" w:anchor="_Toc84427" w:history="1">
        <w:r>
          <w:rPr>
            <w:sz w:val="28"/>
            <w:szCs w:val="28"/>
            <w:lang w:val="ru-RU"/>
          </w:rPr>
          <w:t xml:space="preserve">3.</w:t>
        </w:r>
        <w:r>
          <w:rPr>
            <w:rFonts w:eastAsia="Arial"/>
            <w:sz w:val="28"/>
            <w:szCs w:val="28"/>
            <w:lang w:val="ru-RU"/>
          </w:rPr>
          <w:t xml:space="preserve"> </w:t>
        </w:r>
        <w:r>
          <w:rPr>
            <w:sz w:val="28"/>
            <w:szCs w:val="28"/>
            <w:lang w:val="ru-RU"/>
          </w:rPr>
          <w:t xml:space="preserve">Порядок допуска ОДПУ в эксплуатацию</w:t>
        </w:r>
      </w:hyperlink>
      <w:r>
        <w:rPr>
          <w:sz w:val="28"/>
          <w:szCs w:val="28"/>
          <w:lang w:val="ru-RU"/>
        </w:rPr>
        <w:tab/>
        <w:t xml:space="preserve">7</w:t>
      </w:r>
      <w:r>
        <w:rPr>
          <w:sz w:val="28"/>
          <w:szCs w:val="28"/>
          <w:lang w:val="ru-RU"/>
        </w:rPr>
      </w:r>
    </w:p>
    <w:p>
      <w:pPr>
        <w:pStyle w:val="987"/>
        <w:ind w:left="0" w:right="0" w:firstLine="0"/>
        <w:spacing w:after="0" w:line="240" w:lineRule="auto"/>
        <w:tabs>
          <w:tab w:val="left" w:pos="851" w:leader="none"/>
          <w:tab w:val="right" w:pos="10538" w:leader="dot"/>
        </w:tabs>
        <w:rPr>
          <w:sz w:val="28"/>
          <w:szCs w:val="28"/>
          <w:lang w:val="ru-RU"/>
        </w:rPr>
      </w:pPr>
      <w:r/>
      <w:hyperlink w:tooltip="#_Toc84428" w:anchor="_Toc84428" w:history="1">
        <w:r>
          <w:rPr>
            <w:sz w:val="28"/>
            <w:szCs w:val="28"/>
            <w:lang w:val="ru-RU"/>
          </w:rPr>
          <w:t xml:space="preserve">4.</w:t>
        </w:r>
        <w:r>
          <w:rPr>
            <w:rFonts w:eastAsia="Arial"/>
            <w:sz w:val="28"/>
            <w:szCs w:val="28"/>
            <w:lang w:val="ru-RU"/>
          </w:rPr>
          <w:t xml:space="preserve"> </w:t>
        </w:r>
        <w:r>
          <w:rPr>
            <w:sz w:val="28"/>
            <w:szCs w:val="28"/>
            <w:lang w:val="ru-RU"/>
          </w:rPr>
          <w:t xml:space="preserve">Порядок приема-передачи ИПУ, ОДПУ в эксплуатацию</w:t>
        </w:r>
        <w:r>
          <w:rPr>
            <w:sz w:val="28"/>
            <w:szCs w:val="28"/>
            <w:lang w:val="ru-RU"/>
          </w:rPr>
          <w:tab/>
          <w:t xml:space="preserve">9 </w:t>
        </w:r>
      </w:hyperlink>
      <w:r/>
      <w:r>
        <w:rPr>
          <w:sz w:val="28"/>
          <w:szCs w:val="28"/>
          <w:lang w:val="ru-RU"/>
        </w:rPr>
      </w:r>
    </w:p>
    <w:p>
      <w:pPr>
        <w:tabs>
          <w:tab w:val="left" w:pos="851" w:leader="none"/>
        </w:tabs>
        <w:rPr>
          <w:sz w:val="28"/>
          <w:szCs w:val="28"/>
        </w:rPr>
      </w:pPr>
      <w:r/>
      <w:hyperlink w:tooltip="#_Toc84430" w:anchor="_Toc84430" w:history="1">
        <w:r>
          <w:rPr>
            <w:sz w:val="28"/>
            <w:szCs w:val="28"/>
          </w:rPr>
          <w:t xml:space="preserve">5.</w:t>
        </w:r>
        <w:r>
          <w:rPr>
            <w:rFonts w:eastAsia="Arial"/>
            <w:sz w:val="28"/>
            <w:szCs w:val="28"/>
          </w:rPr>
          <w:t xml:space="preserve"> П</w:t>
        </w:r>
        <w:r>
          <w:rPr>
            <w:sz w:val="28"/>
            <w:szCs w:val="28"/>
          </w:rPr>
          <w:t xml:space="preserve">риложения……………………………………………………………………..11</w:t>
        </w:r>
        <w:r>
          <w:rPr>
            <w:sz w:val="28"/>
            <w:szCs w:val="28"/>
          </w:rPr>
          <w:tab/>
        </w:r>
      </w:hyperlink>
      <w:r/>
      <w:r>
        <w:rPr>
          <w:sz w:val="28"/>
          <w:szCs w:val="28"/>
        </w:rPr>
      </w:r>
    </w:p>
    <w:p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pStyle w:val="986"/>
        <w:numPr>
          <w:ilvl w:val="0"/>
          <w:numId w:val="0"/>
        </w:numPr>
        <w:jc w:val="center"/>
        <w:spacing w:after="0" w:line="240" w:lineRule="auto"/>
        <w:tabs>
          <w:tab w:val="left" w:pos="851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Общие положения </w:t>
      </w:r>
      <w:r>
        <w:rPr>
          <w:sz w:val="28"/>
          <w:szCs w:val="28"/>
          <w:lang w:val="ru-RU"/>
        </w:rPr>
      </w:r>
    </w:p>
    <w:p>
      <w:pPr>
        <w:numPr>
          <w:ilvl w:val="0"/>
          <w:numId w:val="2"/>
        </w:numPr>
        <w:ind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взаимодействия с застройщиками МКД </w:t>
      </w:r>
      <w:r>
        <w:rPr>
          <w:sz w:val="28"/>
          <w:szCs w:val="28"/>
        </w:rPr>
        <w:br/>
        <w:t xml:space="preserve">при организации учета электроэнергии в Филиалах и АО «Чеченэнерго» (далее – Порядок) разработан с учетом требований Постановления Правительства РФ (далее – ППРФ) от 21.12.2020 № 2184 «О внесении изменен</w:t>
      </w:r>
      <w:r>
        <w:rPr>
          <w:sz w:val="28"/>
          <w:szCs w:val="28"/>
        </w:rPr>
        <w:t xml:space="preserve">ий в некоторые акты Правительства Российской Федерации в части урегулирования вопроса передачи установленных застройщиком приборов учета электрической энергии гарантирующим поставщикам», ППРФ от 04.05.2012 № 442 </w:t>
      </w:r>
      <w:r>
        <w:rPr>
          <w:sz w:val="28"/>
          <w:szCs w:val="28"/>
        </w:rPr>
        <w:br/>
        <w:t xml:space="preserve">«О функционировании розничных рынков электр</w:t>
      </w:r>
      <w:r>
        <w:rPr>
          <w:sz w:val="28"/>
          <w:szCs w:val="28"/>
        </w:rPr>
        <w:t xml:space="preserve">ической энергии, полном </w:t>
      </w:r>
      <w:r>
        <w:rPr>
          <w:sz w:val="28"/>
          <w:szCs w:val="28"/>
        </w:rPr>
        <w:br/>
        <w:t xml:space="preserve">и (или) частичном ограничении режима потребления электрической энергии» (с изменениями и дополнениями), ППРФ от 19.06.2020 № 890 «О порядке предоставления доступа к минимальному набору функций интеллектуальных систем учета электрич</w:t>
      </w:r>
      <w:r>
        <w:rPr>
          <w:sz w:val="28"/>
          <w:szCs w:val="28"/>
        </w:rPr>
        <w:t xml:space="preserve">еской энергии (мощности)» (с изменениями </w:t>
      </w:r>
      <w:r>
        <w:rPr>
          <w:sz w:val="28"/>
          <w:szCs w:val="28"/>
        </w:rPr>
        <w:br/>
        <w:t xml:space="preserve">и дополнениями).</w:t>
      </w:r>
      <w:r>
        <w:rPr>
          <w:sz w:val="28"/>
          <w:szCs w:val="28"/>
        </w:rPr>
      </w:r>
    </w:p>
    <w:p>
      <w:pPr>
        <w:numPr>
          <w:ilvl w:val="0"/>
          <w:numId w:val="2"/>
        </w:num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Многоквартирные дома, разрешение на строительство которых выдано после 01.01.2021, должны быть по окончании строительства оснащены застройщиком индивидуальными (для коммунальной квартиры – общими (</w:t>
      </w:r>
      <w:r>
        <w:rPr>
          <w:sz w:val="28"/>
          <w:szCs w:val="28"/>
        </w:rPr>
        <w:t xml:space="preserve">квартирными) приборами учета электрической энергии в жилых и нежилых помещениях многоквартирного дома, электроснабжение которых осуществляется с использованием общего имущества, коллективными (общедомовыми) приборами учета и иным оборудованием, используетс</w:t>
      </w:r>
      <w:r>
        <w:rPr>
          <w:sz w:val="28"/>
          <w:szCs w:val="28"/>
        </w:rPr>
        <w:t xml:space="preserve">я </w:t>
      </w:r>
      <w:r>
        <w:rPr>
          <w:sz w:val="28"/>
          <w:szCs w:val="28"/>
        </w:rPr>
        <w:br/>
        <w:t xml:space="preserve">для коммерческого учета электрической энергии (мощности) и обеспечивает возможность его присоединения к интеллектуальным системам учета электрической энергии (мощности) гарантирующего поставщика </w:t>
      </w:r>
      <w:r>
        <w:rPr>
          <w:sz w:val="28"/>
          <w:szCs w:val="28"/>
        </w:rPr>
        <w:br/>
        <w:t xml:space="preserve">в соответствии с требованиями, установленными правилами п</w:t>
      </w:r>
      <w:r>
        <w:rPr>
          <w:sz w:val="28"/>
          <w:szCs w:val="28"/>
        </w:rPr>
        <w:t xml:space="preserve">редоставления доступа к минимальному набору функций интеллектуальных систем учета электрической энергии (мощности).</w:t>
      </w:r>
      <w:r>
        <w:rPr>
          <w:sz w:val="28"/>
          <w:szCs w:val="28"/>
        </w:rPr>
      </w:r>
    </w:p>
    <w:p>
      <w:pPr>
        <w:numPr>
          <w:ilvl w:val="0"/>
          <w:numId w:val="2"/>
        </w:num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 01.01.2021 индивидуальные, общие (квартирные) и коллективные (общедомовые) приборы учета электрической энергии (измерительные трансформато</w:t>
      </w:r>
      <w:r>
        <w:rPr>
          <w:sz w:val="28"/>
          <w:szCs w:val="28"/>
        </w:rPr>
        <w:t xml:space="preserve">ры) должны быть допущены к эксплуатации гарантирующим поставщиком, а также такие приборы учета должны быть переданы застройщиком в эксплуатацию гарантирующему поставщику, в зоне деятельности которого расположен многоквартирный дом, до введения такого много</w:t>
      </w:r>
      <w:r>
        <w:rPr>
          <w:sz w:val="28"/>
          <w:szCs w:val="28"/>
        </w:rPr>
        <w:t xml:space="preserve">квартирного дома в эксплуатацию в порядке, установленном настоящим документом.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состав иного оборудования, которое используется для коммерческого учета электрической энергии (мощности) (далее – иное оборудование), входят: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измерительные трансформаторы;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коммутационное оборудование и оборудование защиты прибора учета от токов короткого замыкания;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материалы и оборудование для монтажа прибора учета (измерительного комплекса) в месте его установки;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материалы и оборудование для организации вторичн</w:t>
      </w:r>
      <w:r>
        <w:rPr>
          <w:sz w:val="28"/>
          <w:szCs w:val="28"/>
        </w:rPr>
        <w:t xml:space="preserve">ых цепей измерительного комплекса;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д) устройства, предназначенные для удаленного сбора, обработки, передачи показаний приборов учета электрической энергии, обеспечивающие информационный обмен, хранение показаний приборов учета электрической энергии, удале</w:t>
      </w:r>
      <w:r>
        <w:rPr>
          <w:sz w:val="28"/>
          <w:szCs w:val="28"/>
        </w:rPr>
        <w:t xml:space="preserve">нное управление ее компонентами, устройствами и приборами учета электрической энергии.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6"/>
        <w:numPr>
          <w:ilvl w:val="0"/>
          <w:numId w:val="0"/>
        </w:numPr>
        <w:ind w:firstLine="709"/>
        <w:jc w:val="center"/>
        <w:spacing w:after="0" w:line="240" w:lineRule="auto"/>
        <w:tabs>
          <w:tab w:val="left" w:pos="851" w:leader="none"/>
          <w:tab w:val="left" w:pos="993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Порядок согласования технических решений и требований </w:t>
      </w:r>
      <w:r>
        <w:rPr>
          <w:sz w:val="28"/>
          <w:szCs w:val="28"/>
          <w:lang w:val="ru-RU"/>
        </w:rPr>
        <w:br/>
        <w:t xml:space="preserve">к приборам учета застройщика </w:t>
      </w:r>
      <w:r>
        <w:rPr>
          <w:sz w:val="28"/>
          <w:szCs w:val="28"/>
          <w:lang w:val="ru-RU"/>
        </w:rPr>
      </w:r>
    </w:p>
    <w:p>
      <w:pPr>
        <w:numPr>
          <w:ilvl w:val="0"/>
          <w:numId w:val="5"/>
        </w:numPr>
        <w:ind w:left="0" w:firstLine="709"/>
        <w:jc w:val="both"/>
        <w:tabs>
          <w:tab w:val="left" w:pos="851" w:leader="none"/>
          <w:tab w:val="left" w:pos="993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целях информирования застройщиков на официальном сайте </w:t>
      </w:r>
      <w:r>
        <w:rPr>
          <w:sz w:val="28"/>
          <w:szCs w:val="28"/>
        </w:rPr>
        <w:br/>
        <w:t xml:space="preserve">в разделе гарантирующ</w:t>
      </w:r>
      <w:r>
        <w:rPr>
          <w:sz w:val="28"/>
          <w:szCs w:val="28"/>
        </w:rPr>
        <w:t xml:space="preserve">ий поставщик размещает технические требования </w:t>
      </w:r>
      <w:r>
        <w:rPr>
          <w:sz w:val="28"/>
          <w:szCs w:val="28"/>
        </w:rPr>
        <w:br/>
        <w:t xml:space="preserve">к приборам учета и иному оборудованию, которое обеспечивает возможность присоединения приборов учета электрической энергии к ИСУЭ и надлежащее функционирование такой системы, а также возможные способы присоеди</w:t>
      </w:r>
      <w:r>
        <w:rPr>
          <w:sz w:val="28"/>
          <w:szCs w:val="28"/>
        </w:rPr>
        <w:t xml:space="preserve">нения приборов учета электрической энергии к элементам ИСУЭ (далее – Технические требования). 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0" w:right="1" w:firstLine="709"/>
        <w:jc w:val="both"/>
        <w:tabs>
          <w:tab w:val="left" w:pos="851" w:leader="none"/>
          <w:tab w:val="left" w:pos="993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этом необходимо разместить не менее 3 вариантов типовых технических решений, один или несколько из которых в зависимости </w:t>
      </w:r>
      <w:r>
        <w:rPr>
          <w:sz w:val="28"/>
          <w:szCs w:val="28"/>
        </w:rPr>
        <w:br/>
        <w:t xml:space="preserve">от имеющихся условий, определяющих </w:t>
      </w:r>
      <w:r>
        <w:rPr>
          <w:sz w:val="28"/>
          <w:szCs w:val="28"/>
        </w:rPr>
        <w:t xml:space="preserve">возможность присоединения приборов учета к интеллектуальной системе учета электрической энергии гарантирующего поставщика (особенности многоквартирного дома, застройки территории, наличие или отсутствие на территории проводных </w:t>
      </w:r>
      <w:r>
        <w:rPr>
          <w:sz w:val="28"/>
          <w:szCs w:val="28"/>
        </w:rPr>
        <w:br/>
        <w:t xml:space="preserve">и (или) беспроводных каналов</w:t>
      </w:r>
      <w:r>
        <w:rPr>
          <w:sz w:val="28"/>
          <w:szCs w:val="28"/>
        </w:rPr>
        <w:t xml:space="preserve"> связи и др.), должны быть использованы застройщиком.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0" w:right="1" w:firstLine="709"/>
        <w:jc w:val="both"/>
        <w:tabs>
          <w:tab w:val="left" w:pos="851" w:leader="none"/>
          <w:tab w:val="left" w:pos="993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Технические требования должны соответствовать правилам предоставления доступа к минимальному набору функций интеллектуальных систем учета электрической энергии (мощности), настоящему документу, иным обя</w:t>
      </w:r>
      <w:r>
        <w:rPr>
          <w:sz w:val="28"/>
          <w:szCs w:val="28"/>
        </w:rPr>
        <w:t xml:space="preserve">зательным требованиям, установленным законодательством </w:t>
      </w:r>
      <w:r>
        <w:rPr>
          <w:sz w:val="28"/>
          <w:szCs w:val="28"/>
        </w:rPr>
        <w:br/>
        <w:t xml:space="preserve">об электроэнергетике и градостроительным законодательством Российской Федерации.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0" w:right="1" w:firstLine="709"/>
        <w:jc w:val="both"/>
        <w:tabs>
          <w:tab w:val="left" w:pos="851" w:leader="none"/>
          <w:tab w:val="left" w:pos="993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Проектная документация на многоквартирный дом, разрешение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строительство, которого выдано после 01.01.2021, должна учитывать технические требования. При этом застройщик обязан согласовать выбранные им инженерно-технического решения, включая приборы учета, измерительные трансформаторы и способ присоединения приб</w:t>
      </w:r>
      <w:r>
        <w:rPr>
          <w:sz w:val="28"/>
          <w:szCs w:val="28"/>
        </w:rPr>
        <w:t xml:space="preserve">оров учета к интеллектуальной системе учета электрической энергии гарантирующего поставщика, которые будут использованы им при разработке проектной документации и оснащении многоквартирного дома.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0" w:right="1" w:firstLine="709"/>
        <w:jc w:val="both"/>
        <w:tabs>
          <w:tab w:val="left" w:pos="851" w:leader="none"/>
          <w:tab w:val="left" w:pos="993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Согласованные инженерно-технические решения оформляются прот</w:t>
      </w:r>
      <w:r>
        <w:rPr>
          <w:sz w:val="28"/>
          <w:szCs w:val="28"/>
        </w:rPr>
        <w:t xml:space="preserve">околом, который подписывается гарантирующим поставщиком </w:t>
      </w:r>
      <w:r>
        <w:rPr>
          <w:sz w:val="28"/>
          <w:szCs w:val="28"/>
        </w:rPr>
        <w:br/>
        <w:t xml:space="preserve">и застройщиком, и учитывается при проверке выполнения Застройщиком технических требований. Согласование инженерно-технических решений </w:t>
      </w:r>
      <w:r>
        <w:rPr>
          <w:sz w:val="28"/>
          <w:szCs w:val="28"/>
        </w:rPr>
        <w:br/>
        <w:t xml:space="preserve">и подписание протокола осуществляются в течение 10 рабочих дней </w:t>
      </w:r>
      <w:r>
        <w:rPr>
          <w:sz w:val="28"/>
          <w:szCs w:val="28"/>
        </w:rPr>
        <w:t xml:space="preserve">со дня получения гарантирующим поставщиком соответствующих документов </w:t>
      </w:r>
      <w:r>
        <w:rPr>
          <w:sz w:val="28"/>
          <w:szCs w:val="28"/>
        </w:rPr>
        <w:br/>
        <w:t xml:space="preserve">от застройщика.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0" w:right="1" w:firstLine="709"/>
        <w:jc w:val="both"/>
        <w:tabs>
          <w:tab w:val="left" w:pos="709" w:leader="none"/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Застройщик также обязан обратиться к гарантирующему поставщику </w:t>
      </w:r>
      <w:r>
        <w:rPr>
          <w:sz w:val="28"/>
          <w:szCs w:val="28"/>
        </w:rPr>
        <w:br/>
        <w:t xml:space="preserve">с запросом о подтверждении соответствия разработанной проектной документации техническим требованиям. К т</w:t>
      </w:r>
      <w:r>
        <w:rPr>
          <w:sz w:val="28"/>
          <w:szCs w:val="28"/>
        </w:rPr>
        <w:t xml:space="preserve">акому запросу застройщик прилагает копию подраздела «Система электроснабжения» раздела проектной документации «Сведения об инженерном оборудовании, о сетях инженерно-технического обеспечения, перечень инженерно-технических мероприятий, содержание технологи</w:t>
      </w:r>
      <w:r>
        <w:rPr>
          <w:sz w:val="28"/>
          <w:szCs w:val="28"/>
        </w:rPr>
        <w:t xml:space="preserve">ческих решений», которую гарантирующий поставщик </w:t>
      </w:r>
      <w:r>
        <w:rPr>
          <w:sz w:val="28"/>
          <w:szCs w:val="28"/>
        </w:rPr>
        <w:br/>
        <w:t xml:space="preserve">в течение 10 рабочих дней со дня ее получения обязан рассмотреть и направить застройщику ответ, содержащий подтверждение соответствия или информацию о несоответствии проектной документации техническим требо</w:t>
      </w:r>
      <w:r>
        <w:rPr>
          <w:sz w:val="28"/>
          <w:szCs w:val="28"/>
        </w:rPr>
        <w:t xml:space="preserve">ваниям </w:t>
      </w:r>
      <w:r>
        <w:rPr>
          <w:sz w:val="28"/>
          <w:szCs w:val="28"/>
        </w:rPr>
        <w:br/>
        <w:t xml:space="preserve">с указанием соответствующих замечаний. При непредставлении гарантирующим поставщиком в указанный срок ответа на запрос проектная документация считается соответствующей указанным требованиям.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0" w:right="1" w:firstLine="709"/>
        <w:jc w:val="both"/>
        <w:tabs>
          <w:tab w:val="left" w:pos="851" w:leader="none"/>
          <w:tab w:val="left" w:pos="993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Действия гарантирующего поставщика, связанные с согласова</w:t>
      </w:r>
      <w:r>
        <w:rPr>
          <w:sz w:val="28"/>
          <w:szCs w:val="28"/>
        </w:rPr>
        <w:t xml:space="preserve">нием инженерно-технических решений застройщика или подтверждением проектной документации техническим требованиям, осуществляются без взимания платы.</w:t>
      </w:r>
      <w:r>
        <w:rPr>
          <w:sz w:val="28"/>
          <w:szCs w:val="28"/>
        </w:rPr>
      </w:r>
    </w:p>
    <w:p>
      <w:pPr>
        <w:ind w:left="709" w:right="1"/>
        <w:jc w:val="both"/>
        <w:tabs>
          <w:tab w:val="left" w:pos="851" w:leader="none"/>
          <w:tab w:val="left" w:pos="993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6"/>
        <w:numPr>
          <w:ilvl w:val="0"/>
          <w:numId w:val="0"/>
        </w:numPr>
        <w:ind w:firstLine="709"/>
        <w:jc w:val="center"/>
        <w:spacing w:after="0" w:line="240" w:lineRule="auto"/>
        <w:tabs>
          <w:tab w:val="left" w:pos="851" w:leader="none"/>
          <w:tab w:val="left" w:pos="993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Порядок допуска ОДПУ в эксплуатацию </w:t>
      </w:r>
      <w:r>
        <w:rPr>
          <w:sz w:val="28"/>
          <w:szCs w:val="28"/>
          <w:lang w:val="ru-RU"/>
        </w:rPr>
      </w:r>
    </w:p>
    <w:p>
      <w:pPr>
        <w:numPr>
          <w:ilvl w:val="0"/>
          <w:numId w:val="3"/>
        </w:numPr>
        <w:ind w:left="0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После завершения работ по строительству МКД застройщик должен напр</w:t>
      </w:r>
      <w:r>
        <w:rPr>
          <w:sz w:val="28"/>
          <w:szCs w:val="28"/>
        </w:rPr>
        <w:t xml:space="preserve">авить гарантирующему поставщику уведомления о необходимости допуска к эксплуатации индивидуальных, общих (для коммунальной квартиры) приборов учета электрической энергии с приложением следующих документов: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сведения о застройщике (для юридических лиц - п</w:t>
      </w:r>
      <w:r>
        <w:rPr>
          <w:sz w:val="28"/>
          <w:szCs w:val="28"/>
        </w:rPr>
        <w:t xml:space="preserve">олное наименование, основной государственный регистрационный номер в едином государственном реестре юридических лиц и дата внесения в реестр, для индивидуальных предпринимателей – основной государственный регистрационный номер индивидуального предпринимате</w:t>
      </w:r>
      <w:r>
        <w:rPr>
          <w:sz w:val="28"/>
          <w:szCs w:val="28"/>
        </w:rPr>
        <w:t xml:space="preserve">ля в едином государственном реестре индивидуальных предпринимателей и дата внесения в реестр);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копия протокола согласования с гарантирующим поставщиком выбранных инженерно-технических решений (при наличии) </w:t>
      </w:r>
      <w:r>
        <w:rPr>
          <w:sz w:val="28"/>
          <w:szCs w:val="28"/>
        </w:rPr>
        <w:br/>
        <w:t xml:space="preserve">или подтверждения гарантирующего поставщика о </w:t>
      </w:r>
      <w:r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br/>
        <w:t xml:space="preserve">или несоответствии проектной документации техническим требованиям </w:t>
      </w:r>
      <w:r>
        <w:rPr>
          <w:sz w:val="28"/>
          <w:szCs w:val="28"/>
        </w:rPr>
        <w:br/>
        <w:t xml:space="preserve">(при наличии);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копия подраздела «Система электроснабжения» раздела проектной документации «Сведения об инженерном оборудовании, о сетях инженерно-технического обеспечения, </w:t>
      </w:r>
      <w:r>
        <w:rPr>
          <w:sz w:val="28"/>
          <w:szCs w:val="28"/>
        </w:rPr>
        <w:t xml:space="preserve">перечень инженерно-технических мероприятий, содержание технологических решений», включающего инженерно-технические решения по оснащению приборами учета электрической энергии, измерительными трансформаторами (при необходимости их установки одновременно с ко</w:t>
      </w:r>
      <w:r>
        <w:rPr>
          <w:sz w:val="28"/>
          <w:szCs w:val="28"/>
        </w:rPr>
        <w:t xml:space="preserve">ллективным (общедомовым) прибором учета) и иным оборудованием, используется для коммерческого учета электрической энергии (мощности) и обеспечивает возможность присоединения приборов учета электрической энергии к интеллектуальной системе учета электрическо</w:t>
      </w:r>
      <w:r>
        <w:rPr>
          <w:sz w:val="28"/>
          <w:szCs w:val="28"/>
        </w:rPr>
        <w:t xml:space="preserve">й энергии (мощности) гарантирующего поставщика, а также возможные способы </w:t>
      </w:r>
      <w:r>
        <w:rPr>
          <w:sz w:val="28"/>
          <w:szCs w:val="28"/>
        </w:rPr>
        <w:t xml:space="preserve">присоединения приборов учета электрической энергии к элементам интеллектуальной системы учета электрической энергии (мощности);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копии технических паспортов на все установленные пр</w:t>
      </w:r>
      <w:r>
        <w:rPr>
          <w:sz w:val="28"/>
          <w:szCs w:val="28"/>
        </w:rPr>
        <w:t xml:space="preserve">иборы учета электрической энергии, устройства сбора и передачи данных и иную сопроводительную техническую и гарантийную документацию ко всем прочим установленным приборам, устройствам и оборудованию, необходимым </w:t>
      </w:r>
      <w:r>
        <w:rPr>
          <w:sz w:val="28"/>
          <w:szCs w:val="28"/>
        </w:rPr>
        <w:br/>
        <w:t xml:space="preserve">для обеспечения коммерческого учета электри</w:t>
      </w:r>
      <w:r>
        <w:rPr>
          <w:sz w:val="28"/>
          <w:szCs w:val="28"/>
        </w:rPr>
        <w:t xml:space="preserve">ческой энергии и присоединения приборов учета к интеллектуальной системе учета электрической энергии (мощности) гарантирующего поставщика.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д) реестр установленного оборудования, содержащий информацию </w:t>
      </w:r>
      <w:r>
        <w:rPr>
          <w:sz w:val="28"/>
          <w:szCs w:val="28"/>
        </w:rPr>
        <w:br/>
        <w:t xml:space="preserve">о смонтированном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оборудовании, помещениях, осуществляю</w:t>
      </w:r>
      <w:r>
        <w:rPr>
          <w:sz w:val="28"/>
          <w:szCs w:val="28"/>
        </w:rPr>
        <w:t xml:space="preserve">щих энергопотребление; серийные номера и модели установленного оборудования, в соответствии </w:t>
      </w:r>
      <w:r>
        <w:rPr>
          <w:sz w:val="28"/>
          <w:szCs w:val="28"/>
        </w:rPr>
        <w:br/>
        <w:t xml:space="preserve">с паспортом оборудования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</w:pPr>
      <w:r>
        <w:rPr>
          <w:sz w:val="28"/>
          <w:szCs w:val="28"/>
        </w:rPr>
        <w:t xml:space="preserve">ж) копия акта об осуществлении технологического присоединения МКД с применением </w:t>
      </w:r>
      <w:r/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постоянной схемы электроснабжения;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з) заявка на предоставление SIM-карт для установки в каналообразующее оборудование.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Представитель оповещает застройщика о возможности получения SIM-карт для последующей передачи представителю застройщика по Акту приема передачи SIM-карт (Приложение 1 к на</w:t>
      </w:r>
      <w:r>
        <w:rPr>
          <w:sz w:val="28"/>
          <w:szCs w:val="28"/>
        </w:rPr>
        <w:t xml:space="preserve">стоящему Порядку).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Акт приема-передачи оформляется в 2 экземплярах и подписывается уполномоченными представителями и застройщика. 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Застройщик устанавливает SIM-карту в оборудование и обеспечивает подключение сервера гарантирующего поставщика к каналообраз</w:t>
      </w:r>
      <w:r>
        <w:rPr>
          <w:sz w:val="28"/>
          <w:szCs w:val="28"/>
        </w:rPr>
        <w:t xml:space="preserve">ующему оборудованию застройщика, после чего посредством электронной почты оповещает представителей о готовности проверки работоспособности ИСУЭ. </w:t>
      </w:r>
      <w:r>
        <w:rPr>
          <w:sz w:val="28"/>
          <w:szCs w:val="28"/>
        </w:rPr>
      </w:r>
    </w:p>
    <w:p>
      <w:pPr>
        <w:numPr>
          <w:ilvl w:val="0"/>
          <w:numId w:val="3"/>
        </w:numPr>
        <w:ind w:left="0"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Допуск к эксплуатации индивидуальных, общих (квартирных) приборов учета электрической энергии, установленных з</w:t>
      </w:r>
      <w:r>
        <w:rPr>
          <w:sz w:val="28"/>
          <w:szCs w:val="28"/>
        </w:rPr>
        <w:t xml:space="preserve">астройщиком </w:t>
      </w:r>
      <w:r>
        <w:rPr>
          <w:sz w:val="28"/>
          <w:szCs w:val="28"/>
        </w:rPr>
        <w:br/>
        <w:t xml:space="preserve">в многоквартирном доме, осуществляется гарантирующим поставщиком после подписания сетевой организацией акта об осуществлении технологического присоединения многоквартирного дома с применением постоянной схемы электроснабжения.</w:t>
      </w:r>
      <w:r>
        <w:rPr>
          <w:sz w:val="28"/>
          <w:szCs w:val="28"/>
        </w:rPr>
      </w:r>
    </w:p>
    <w:p>
      <w:pPr>
        <w:numPr>
          <w:ilvl w:val="0"/>
          <w:numId w:val="3"/>
        </w:numPr>
        <w:ind w:left="0"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Срок осуществлен</w:t>
      </w:r>
      <w:r>
        <w:rPr>
          <w:sz w:val="28"/>
          <w:szCs w:val="28"/>
        </w:rPr>
        <w:t xml:space="preserve">ия допуска к эксплуатации индивидуальных, общих (квартирных) приборов учета электрической энергии гарантирующим поставщиком не должен превышать 30 дней со дня получения гарантирующим поставщиком уведомления от застройщика о необходимости допуска </w:t>
      </w:r>
      <w:r>
        <w:rPr>
          <w:sz w:val="28"/>
          <w:szCs w:val="28"/>
        </w:rPr>
        <w:br/>
        <w:t xml:space="preserve">к эксплуа</w:t>
      </w:r>
      <w:r>
        <w:rPr>
          <w:sz w:val="28"/>
          <w:szCs w:val="28"/>
        </w:rPr>
        <w:t xml:space="preserve">тации индивидуальных, общих (квартирных) приборов учета электрической энергии.</w:t>
      </w:r>
      <w:r>
        <w:rPr>
          <w:sz w:val="28"/>
          <w:szCs w:val="28"/>
        </w:rPr>
      </w:r>
    </w:p>
    <w:p>
      <w:pPr>
        <w:numPr>
          <w:ilvl w:val="0"/>
          <w:numId w:val="3"/>
        </w:numPr>
        <w:ind w:left="0"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рамках допуска к эксплуатации индивидуальных, общих (квартирных) приборов учета электрической энергии, установленных застройщиком в многоквартирном доме, вводимом в эксплуатац</w:t>
      </w:r>
      <w:r>
        <w:rPr>
          <w:sz w:val="28"/>
          <w:szCs w:val="28"/>
        </w:rPr>
        <w:t xml:space="preserve">ию </w:t>
      </w:r>
      <w:r>
        <w:rPr>
          <w:sz w:val="28"/>
          <w:szCs w:val="28"/>
        </w:rPr>
        <w:br/>
        <w:t xml:space="preserve">после осуществления строительства, гарантирующий поставщик осуществляет: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проверку соответствия приборов учета, параметров устройств, каналов и линий, указанных в документах, техническим требованиям;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обследование приборов учета электрической энерг</w:t>
      </w:r>
      <w:r>
        <w:rPr>
          <w:sz w:val="28"/>
          <w:szCs w:val="28"/>
        </w:rPr>
        <w:t xml:space="preserve">ии и иного оборудования, используется для коммерческого учета электрической энергии (мощности) и обеспечивает возможность присоединения приборов учета электрической энергии к интеллектуальной системе учета электрической энергии (мощности) гарантирующего по</w:t>
      </w:r>
      <w:r>
        <w:rPr>
          <w:sz w:val="28"/>
          <w:szCs w:val="28"/>
        </w:rPr>
        <w:t xml:space="preserve">ставщика, а также проверку способов присоединения приборов учета электрической энергии к элементам интеллектуальной системы учета электрической энергии (мощности), в том числе проверку коллективных (общедомовых) приборов учета электрической энергии в отнош</w:t>
      </w:r>
      <w:r>
        <w:rPr>
          <w:sz w:val="28"/>
          <w:szCs w:val="28"/>
        </w:rPr>
        <w:t xml:space="preserve">ении их целостности, исправности, надлежащего функционирования, наличия и целостности пломб государственной поверки, соответствия паспортным характеристикам, представленной застройщиком проектной документации и техническим требованиям.</w:t>
      </w:r>
      <w:r>
        <w:rPr>
          <w:sz w:val="28"/>
          <w:szCs w:val="28"/>
        </w:rPr>
      </w:r>
    </w:p>
    <w:p>
      <w:pPr>
        <w:ind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обследование приб</w:t>
      </w:r>
      <w:r>
        <w:rPr>
          <w:sz w:val="28"/>
          <w:szCs w:val="28"/>
        </w:rPr>
        <w:t xml:space="preserve">оров учета и иного оборудования, а также проверку способов присоединения приборов учета электрической энергии к элементам ИСУЭ, в том числе проверку ОДПУ, в отношении их целостности, исправности, надлежащего функционирования, наличия и целостности пломб го</w:t>
      </w:r>
      <w:r>
        <w:rPr>
          <w:sz w:val="28"/>
          <w:szCs w:val="28"/>
        </w:rPr>
        <w:t xml:space="preserve">сударственной поверки, соответствия паспортным характеристикам, предоставленной застройщиком проектной документации и Техническим требованиям.</w:t>
      </w:r>
      <w:r>
        <w:rPr>
          <w:sz w:val="28"/>
          <w:szCs w:val="28"/>
        </w:rPr>
      </w:r>
    </w:p>
    <w:p>
      <w:pPr>
        <w:numPr>
          <w:ilvl w:val="0"/>
          <w:numId w:val="3"/>
        </w:numPr>
        <w:ind w:left="0"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случае несоответствия индивидуальных, общих (квартирных) приборов учета электрической энергии, установленных за</w:t>
      </w:r>
      <w:r>
        <w:rPr>
          <w:sz w:val="28"/>
          <w:szCs w:val="28"/>
        </w:rPr>
        <w:t xml:space="preserve">стройщиком </w:t>
      </w:r>
      <w:r>
        <w:rPr>
          <w:sz w:val="28"/>
          <w:szCs w:val="28"/>
        </w:rPr>
        <w:br/>
        <w:t xml:space="preserve">в многоквартирном доме, требованиям настоящего документа и иным обязательным требованиям, установленным законодательством </w:t>
      </w:r>
      <w:r>
        <w:rPr>
          <w:sz w:val="28"/>
          <w:szCs w:val="28"/>
        </w:rPr>
        <w:br/>
        <w:t xml:space="preserve">об электроэнергетике и градостроительным законодательством Российской Федерации, или в случае невыполнения застройщиком т</w:t>
      </w:r>
      <w:r>
        <w:rPr>
          <w:sz w:val="28"/>
          <w:szCs w:val="28"/>
        </w:rPr>
        <w:t xml:space="preserve">ехнических требований для многоквартирных домов, гарантирующий поставщик составляет </w:t>
      </w:r>
      <w:r>
        <w:rPr>
          <w:sz w:val="28"/>
          <w:szCs w:val="28"/>
        </w:rPr>
        <w:br/>
        <w:t xml:space="preserve">и направляет застройщику в течение 3 рабочих дней со дня выявления таких замечаний в письменной форме перечень замечаний, выявленных в ходе проверки, подлежащих устранению</w:t>
      </w:r>
      <w:r>
        <w:rPr>
          <w:sz w:val="28"/>
          <w:szCs w:val="28"/>
        </w:rPr>
        <w:t xml:space="preserve"> в течение 10 рабочих дней с даты получения такого уведомления.</w:t>
      </w:r>
      <w:r>
        <w:rPr>
          <w:sz w:val="28"/>
          <w:szCs w:val="28"/>
        </w:rPr>
      </w:r>
    </w:p>
    <w:p>
      <w:pPr>
        <w:numPr>
          <w:ilvl w:val="0"/>
          <w:numId w:val="3"/>
        </w:numPr>
        <w:ind w:left="0" w:right="1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Повторная процедура допуска к эксплуатации индивидуальных, общих (квартирных) приборов учета электрической энергии, установленных застройщиком в многоквартирном доме, осуществляется не позднее</w:t>
      </w:r>
      <w:r>
        <w:rPr>
          <w:sz w:val="28"/>
          <w:szCs w:val="28"/>
        </w:rPr>
        <w:t xml:space="preserve"> 10 рабочих дней после получения от застройщика уведомления об устранении замечаний, </w:t>
      </w:r>
      <w:r>
        <w:rPr>
          <w:sz w:val="28"/>
          <w:szCs w:val="28"/>
        </w:rPr>
        <w:br/>
        <w:t xml:space="preserve">с указанием информации о принятых мерах по их устранению.</w:t>
      </w:r>
      <w:r>
        <w:rPr>
          <w:sz w:val="28"/>
          <w:szCs w:val="28"/>
        </w:rPr>
      </w:r>
    </w:p>
    <w:p>
      <w:pPr>
        <w:pStyle w:val="986"/>
        <w:numPr>
          <w:ilvl w:val="0"/>
          <w:numId w:val="0"/>
        </w:numPr>
        <w:ind w:firstLine="709"/>
        <w:spacing w:after="0" w:line="240" w:lineRule="auto"/>
        <w:tabs>
          <w:tab w:val="left" w:pos="851" w:leader="none"/>
          <w:tab w:val="left" w:pos="993" w:leader="none"/>
        </w:tabs>
        <w:rPr>
          <w:sz w:val="28"/>
          <w:szCs w:val="28"/>
          <w:lang w:val="ru-RU"/>
        </w:rPr>
        <w:sectPr>
          <w:headerReference w:type="default" r:id="rId9"/>
          <w:headerReference w:type="first" r:id="rId10"/>
          <w:footnotePr/>
          <w:endnotePr/>
          <w:type w:val="nextPage"/>
          <w:pgSz w:w="11909" w:h="16838" w:orient="portrait"/>
          <w:pgMar w:top="1134" w:right="709" w:bottom="1134" w:left="1701" w:header="709" w:footer="709" w:gutter="0"/>
          <w:cols w:num="1" w:sep="0" w:space="720" w:equalWidth="1"/>
          <w:docGrid w:linePitch="360"/>
          <w:titlePg/>
        </w:sect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709"/>
        <w:jc w:val="center"/>
        <w:spacing w:after="0" w:line="240" w:lineRule="auto"/>
        <w:tabs>
          <w:tab w:val="left" w:pos="851" w:leader="none"/>
          <w:tab w:val="left" w:pos="993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Порядок приема-передачи ИПУ, ОДПУ в эксплуатацию</w:t>
      </w:r>
      <w:r>
        <w:rPr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right" w:pos="9499" w:leader="none"/>
        </w:tabs>
        <w:rPr>
          <w:b w:val="0"/>
          <w:sz w:val="28"/>
          <w:szCs w:val="28"/>
          <w:lang w:val="ru-RU"/>
        </w:rPr>
        <w:sectPr>
          <w:footnotePr/>
          <w:endnotePr/>
          <w:type w:val="continuous"/>
          <w:pgSz w:w="11909" w:h="16838" w:orient="portrait"/>
          <w:pgMar w:top="1134" w:right="709" w:bottom="1134" w:left="1701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b w:val="0"/>
          <w:sz w:val="28"/>
          <w:szCs w:val="28"/>
          <w:lang w:val="ru-RU"/>
        </w:rPr>
        <w:t xml:space="preserve">1.</w:t>
      </w:r>
      <w:r>
        <w:rPr>
          <w:b w:val="0"/>
          <w:sz w:val="28"/>
          <w:szCs w:val="28"/>
          <w:lang w:val="ru-RU"/>
        </w:rPr>
        <w:tab/>
        <w:t xml:space="preserve">В течение 10 рабочих дней после допуска к эксплуатации всех индивидуальных, общих (квартирных) и коллективных (общедомовых) приборов учета электрической энергии,</w:t>
      </w:r>
      <w:r>
        <w:rPr>
          <w:b w:val="0"/>
          <w:sz w:val="28"/>
          <w:szCs w:val="28"/>
          <w:lang w:val="ru-RU"/>
        </w:rPr>
        <w:t xml:space="preserve"> установленных в многоквартирном доме, застройщик составляет и направляет для подписания гарантирующему поставщику подписанный со своей стороны в 2 экземплярах акт приема-передачи в эксплуатацию приборов учета по форме согласно Приложению 2</w:t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jc w:val="both"/>
        <w:spacing w:after="0" w:line="240" w:lineRule="auto"/>
        <w:tabs>
          <w:tab w:val="left" w:pos="851" w:leader="none"/>
          <w:tab w:val="left" w:pos="993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(далее – акт пр</w:t>
      </w:r>
      <w:r>
        <w:rPr>
          <w:b w:val="0"/>
          <w:sz w:val="28"/>
          <w:szCs w:val="28"/>
          <w:lang w:val="ru-RU"/>
        </w:rPr>
        <w:t xml:space="preserve">иема-передачи приборов учета).</w:t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709"/>
        <w:jc w:val="both"/>
        <w:spacing w:after="0" w:line="240" w:lineRule="auto"/>
        <w:tabs>
          <w:tab w:val="left" w:pos="851" w:leader="none"/>
          <w:tab w:val="left" w:pos="993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2.</w:t>
      </w:r>
      <w:r>
        <w:rPr>
          <w:b w:val="0"/>
          <w:sz w:val="28"/>
          <w:szCs w:val="28"/>
          <w:lang w:val="ru-RU"/>
        </w:rPr>
        <w:tab/>
        <w:t xml:space="preserve">Гарантирующий поставщик в течение 10 рабочих дней со дня получения от застройщика акта приема-передачи приборов учета подписывает его и возвращает один экземпляр акта застройщику.</w:t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709"/>
        <w:jc w:val="both"/>
        <w:spacing w:after="0" w:line="240" w:lineRule="auto"/>
        <w:tabs>
          <w:tab w:val="left" w:pos="851" w:leader="none"/>
          <w:tab w:val="left" w:pos="993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3.</w:t>
      </w:r>
      <w:r>
        <w:rPr>
          <w:b w:val="0"/>
          <w:sz w:val="28"/>
          <w:szCs w:val="28"/>
          <w:lang w:val="ru-RU"/>
        </w:rPr>
        <w:tab/>
        <w:t xml:space="preserve">Подписанный застройщиком и гарантирующи</w:t>
      </w:r>
      <w:r>
        <w:rPr>
          <w:b w:val="0"/>
          <w:sz w:val="28"/>
          <w:szCs w:val="28"/>
          <w:lang w:val="ru-RU"/>
        </w:rPr>
        <w:t xml:space="preserve">м поставщиком акт приема-передачи индивидуальных, общих (квартирных) и коллективных (общедомовых) приборов учета, установленных в жилых и нежилых помещениях многоквартирного дома, является документом, подтверждающим передачу гарантирующему поставщику в экс</w:t>
      </w:r>
      <w:r>
        <w:rPr>
          <w:b w:val="0"/>
          <w:sz w:val="28"/>
          <w:szCs w:val="28"/>
          <w:lang w:val="ru-RU"/>
        </w:rPr>
        <w:t xml:space="preserve">плуатацию приборов учета электрической энергии многоквартирного дома.</w:t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709"/>
        <w:jc w:val="both"/>
        <w:spacing w:after="0" w:line="240" w:lineRule="auto"/>
        <w:tabs>
          <w:tab w:val="left" w:pos="851" w:leader="none"/>
          <w:tab w:val="left" w:pos="993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709"/>
        <w:jc w:val="both"/>
        <w:spacing w:after="0" w:line="240" w:lineRule="auto"/>
        <w:tabs>
          <w:tab w:val="left" w:pos="851" w:leader="none"/>
          <w:tab w:val="left" w:pos="993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709"/>
        <w:jc w:val="both"/>
        <w:spacing w:after="0" w:line="240" w:lineRule="auto"/>
        <w:tabs>
          <w:tab w:val="left" w:pos="851" w:leader="none"/>
          <w:tab w:val="left" w:pos="993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</w:r>
      <w:r>
        <w:rPr>
          <w:b w:val="0"/>
          <w:sz w:val="28"/>
          <w:szCs w:val="28"/>
          <w:lang w:val="ru-RU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>
        <w:rPr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заместителя генерального директора </w:t>
      </w:r>
      <w:r>
        <w:rPr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реализации и развитию услуг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С.В. Пашин</w:t>
      </w:r>
      <w:r>
        <w:rPr>
          <w:sz w:val="28"/>
          <w:szCs w:val="28"/>
        </w:rPr>
      </w:r>
    </w:p>
    <w:p>
      <w:pPr>
        <w:ind w:firstLine="567"/>
        <w:jc w:val="both"/>
        <w:keepLines/>
        <w:keepNext/>
        <w:spacing w:after="169"/>
        <w:tabs>
          <w:tab w:val="left" w:pos="851" w:leader="none"/>
        </w:tabs>
        <w:rPr>
          <w:color w:val="000000"/>
          <w:sz w:val="28"/>
          <w:szCs w:val="28"/>
          <w:lang w:eastAsia="en-US"/>
        </w:rPr>
        <w:outlineLvl w:val="0"/>
      </w:pP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pStyle w:val="986"/>
        <w:numPr>
          <w:ilvl w:val="0"/>
          <w:numId w:val="0"/>
        </w:numPr>
        <w:ind w:firstLine="709"/>
        <w:jc w:val="both"/>
        <w:spacing w:after="0" w:line="240" w:lineRule="auto"/>
        <w:tabs>
          <w:tab w:val="left" w:pos="851" w:leader="none"/>
          <w:tab w:val="left" w:pos="993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567"/>
        <w:jc w:val="both"/>
        <w:spacing w:line="240" w:lineRule="auto"/>
        <w:tabs>
          <w:tab w:val="left" w:pos="851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567"/>
        <w:jc w:val="both"/>
        <w:spacing w:line="240" w:lineRule="auto"/>
        <w:tabs>
          <w:tab w:val="left" w:pos="851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</w:r>
      <w:r>
        <w:rPr>
          <w:b w:val="0"/>
          <w:sz w:val="28"/>
          <w:szCs w:val="28"/>
          <w:lang w:val="ru-RU"/>
        </w:rPr>
      </w:r>
    </w:p>
    <w:p>
      <w:pPr>
        <w:pStyle w:val="986"/>
        <w:numPr>
          <w:ilvl w:val="0"/>
          <w:numId w:val="0"/>
        </w:numPr>
        <w:ind w:firstLine="567"/>
        <w:jc w:val="both"/>
        <w:spacing w:line="240" w:lineRule="auto"/>
        <w:tabs>
          <w:tab w:val="left" w:pos="851" w:leader="none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</w:r>
      <w:r>
        <w:rPr>
          <w:b w:val="0"/>
          <w:sz w:val="28"/>
          <w:szCs w:val="28"/>
          <w:lang w:val="ru-RU"/>
        </w:rPr>
      </w:r>
    </w:p>
    <w:p>
      <w:pPr>
        <w:ind w:firstLine="567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44"/>
        <w:spacing w:line="259" w:lineRule="auto"/>
      </w:pPr>
      <w:r/>
      <w:r/>
    </w:p>
    <w:p>
      <w:pPr>
        <w:ind w:left="144"/>
        <w:spacing w:line="259" w:lineRule="auto"/>
      </w:pPr>
      <w:r/>
      <w:r/>
    </w:p>
    <w:p>
      <w:pPr>
        <w:ind w:left="144"/>
        <w:spacing w:line="259" w:lineRule="auto"/>
      </w:pPr>
      <w:r/>
      <w:r/>
    </w:p>
    <w:p>
      <w:pPr>
        <w:ind w:left="144"/>
        <w:spacing w:line="259" w:lineRule="auto"/>
      </w:pPr>
      <w:r/>
      <w:r/>
    </w:p>
    <w:p>
      <w:pPr>
        <w:spacing w:after="160" w:line="259" w:lineRule="auto"/>
      </w:pPr>
      <w:r>
        <w:br w:type="page" w:clear="all"/>
      </w:r>
      <w:r/>
    </w:p>
    <w:p>
      <w:pPr>
        <w:ind w:left="5812" w:right="73"/>
        <w:jc w:val="right"/>
        <w:spacing w:after="109" w:line="259" w:lineRule="auto"/>
      </w:pPr>
      <w:r>
        <w:t xml:space="preserve">Приложение 1 к Порядку </w:t>
      </w:r>
      <w:r/>
    </w:p>
    <w:p>
      <w:pPr>
        <w:ind w:left="10" w:right="73"/>
        <w:jc w:val="right"/>
        <w:spacing w:line="259" w:lineRule="auto"/>
      </w:pPr>
      <w:r>
        <w:t xml:space="preserve">(Форма) </w:t>
      </w:r>
      <w:r/>
    </w:p>
    <w:p>
      <w:pPr>
        <w:ind w:left="533"/>
        <w:spacing w:after="51" w:line="259" w:lineRule="auto"/>
      </w:pPr>
      <w:r>
        <w:t xml:space="preserve"> </w:t>
      </w:r>
      <w:r/>
    </w:p>
    <w:p>
      <w:pPr>
        <w:ind w:left="3402" w:right="3800"/>
        <w:jc w:val="center"/>
        <w:spacing w:line="276" w:lineRule="auto"/>
      </w:pPr>
      <w:r>
        <w:rPr>
          <w:b/>
        </w:rPr>
        <w:t xml:space="preserve">Акт № __ </w:t>
      </w:r>
      <w:r>
        <w:t xml:space="preserve">приема-передачи </w:t>
      </w:r>
      <w:r/>
    </w:p>
    <w:p>
      <w:pPr>
        <w:ind w:left="226"/>
        <w:jc w:val="center"/>
        <w:spacing w:line="259" w:lineRule="auto"/>
      </w:pPr>
      <w:r>
        <w:t xml:space="preserve"> </w:t>
      </w:r>
      <w:r/>
    </w:p>
    <w:p>
      <w:pPr>
        <w:ind w:left="-10"/>
        <w:spacing w:after="247" w:line="259" w:lineRule="auto"/>
        <w:tabs>
          <w:tab w:val="center" w:pos="5762" w:leader="none"/>
          <w:tab w:val="right" w:pos="10538" w:leader="none"/>
        </w:tabs>
      </w:pPr>
      <w:r>
        <w:t xml:space="preserve">г. _________                                                                           </w:t>
      </w:r>
      <w:r>
        <w:tab/>
        <w:t xml:space="preserve"> </w:t>
      </w:r>
      <w:r>
        <w:tab/>
        <w:t xml:space="preserve">                                 «___» _________ 202_г. </w:t>
      </w:r>
      <w:r/>
    </w:p>
    <w:p>
      <w:pPr>
        <w:ind w:right="63" w:firstLine="566"/>
      </w:pPr>
      <w:r>
        <w:t xml:space="preserve">Мы, нижеподписавшиеся, представитель ПАО «____________________» (далее – Гарантирующий поставщик) в лице ____</w:t>
      </w:r>
      <w:r>
        <w:t xml:space="preserve">_________________________________ и представителя ___________ (далее – Застройщик) в лице ______________________________________, составили настоящий акт о том, что Гарантирующий поставщик передал, а Застройщик принял SIM - карты. Перечень SIM - карт (</w:t>
      </w:r>
      <w:r>
        <w:rPr>
          <w:i/>
          <w:u w:val="single"/>
        </w:rPr>
        <w:t xml:space="preserve">наим</w:t>
      </w:r>
      <w:r>
        <w:rPr>
          <w:i/>
          <w:u w:val="single"/>
        </w:rPr>
        <w:t xml:space="preserve">енование мобильного оператора</w:t>
      </w:r>
      <w:r>
        <w:t xml:space="preserve">) </w:t>
      </w:r>
      <w:r/>
    </w:p>
    <w:tbl>
      <w:tblPr>
        <w:tblW w:w="9488" w:type="dxa"/>
        <w:tblInd w:w="5" w:type="dxa"/>
        <w:tblLayout w:type="fixed"/>
        <w:tblCellMar>
          <w:left w:w="67" w:type="dxa"/>
          <w:top w:w="8" w:type="dxa"/>
          <w:right w:w="38" w:type="dxa"/>
        </w:tblCellMar>
        <w:tblLook w:val="04A0" w:firstRow="1" w:lastRow="0" w:firstColumn="1" w:lastColumn="0" w:noHBand="0" w:noVBand="1"/>
      </w:tblPr>
      <w:tblGrid>
        <w:gridCol w:w="562"/>
        <w:gridCol w:w="2743"/>
        <w:gridCol w:w="2199"/>
        <w:gridCol w:w="523"/>
        <w:gridCol w:w="1476"/>
        <w:gridCol w:w="1985"/>
      </w:tblGrid>
      <w:tr>
        <w:tblPrEx/>
        <w:trPr>
          <w:trHeight w:val="5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ind w:left="77" w:firstLine="48"/>
              <w:spacing w:line="259" w:lineRule="auto"/>
            </w:pPr>
            <w:r>
              <w:rPr>
                <w:b/>
              </w:rPr>
              <w:t xml:space="preserve">№  п/п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2743" w:type="dxa"/>
            <w:textDirection w:val="lrTb"/>
            <w:noWrap w:val="false"/>
          </w:tcPr>
          <w:p>
            <w:pPr>
              <w:ind w:right="162"/>
              <w:spacing w:line="259" w:lineRule="auto"/>
            </w:pPr>
            <w:r>
              <w:rPr>
                <w:b/>
              </w:rPr>
              <w:t xml:space="preserve">ICCID  SIM-карты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spacing w:line="259" w:lineRule="auto"/>
            </w:pPr>
            <w:r>
              <w:rPr>
                <w:b/>
              </w:rPr>
              <w:t xml:space="preserve">Номер SIM-карты (при наличии) </w:t>
            </w:r>
            <w:r/>
          </w:p>
        </w:tc>
        <w:tc>
          <w:tcPr>
            <w:tcBorders>
              <w:top w:val="single" w:color="000000" w:sz="4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ind w:left="48"/>
              <w:spacing w:after="8" w:line="259" w:lineRule="auto"/>
            </w:pPr>
            <w:r>
              <w:rPr>
                <w:b/>
              </w:rPr>
              <w:t xml:space="preserve">№ </w:t>
            </w:r>
            <w:r/>
          </w:p>
          <w:p>
            <w:pPr>
              <w:spacing w:line="259" w:lineRule="auto"/>
            </w:pPr>
            <w:r>
              <w:rPr>
                <w:b/>
              </w:rPr>
              <w:t xml:space="preserve">п/п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1476" w:type="dxa"/>
            <w:textDirection w:val="lrTb"/>
            <w:noWrap w:val="false"/>
          </w:tcPr>
          <w:p>
            <w:pPr>
              <w:spacing w:line="259" w:lineRule="auto"/>
            </w:pPr>
            <w:r>
              <w:rPr>
                <w:b/>
              </w:rPr>
              <w:t xml:space="preserve">ICCID  SIM-карты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spacing w:line="259" w:lineRule="auto"/>
            </w:pPr>
            <w:r>
              <w:rPr>
                <w:b/>
              </w:rPr>
              <w:t xml:space="preserve">Номер SIM-карты (при наличии)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1.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left="98"/>
              <w:spacing w:line="259" w:lineRule="auto"/>
            </w:pPr>
            <w:r>
              <w:rPr>
                <w:i/>
              </w:rPr>
              <w:t xml:space="preserve">89701015124158101657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2.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left="98"/>
              <w:spacing w:line="259" w:lineRule="auto"/>
            </w:pPr>
            <w:r>
              <w:rPr>
                <w:i/>
              </w:rPr>
              <w:t xml:space="preserve">89701015124158101665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3.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left="98"/>
              <w:spacing w:line="259" w:lineRule="auto"/>
            </w:pPr>
            <w:r>
              <w:rPr>
                <w:i/>
              </w:rPr>
              <w:t xml:space="preserve">89701015124158101673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4.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left="98"/>
              <w:spacing w:line="259" w:lineRule="auto"/>
            </w:pPr>
            <w:r>
              <w:rPr>
                <w:i/>
              </w:rPr>
              <w:t xml:space="preserve">89701015124158101681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5.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left="98"/>
              <w:spacing w:line="259" w:lineRule="auto"/>
            </w:pPr>
            <w:r>
              <w:rPr>
                <w:i/>
              </w:rPr>
              <w:t xml:space="preserve">89701015124158101699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6.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right="61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7.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right="61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8.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right="61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562" w:type="dxa"/>
            <w:textDirection w:val="lrTb"/>
            <w:noWrap w:val="false"/>
          </w:tcPr>
          <w:p>
            <w:pPr>
              <w:ind w:left="106"/>
              <w:spacing w:line="259" w:lineRule="auto"/>
            </w:pPr>
            <w:r>
              <w:t xml:space="preserve">9.</w:t>
            </w:r>
            <w:r>
              <w:rPr>
                <w:rFonts w:eastAsia="Arial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743" w:type="dxa"/>
            <w:textDirection w:val="lrTb"/>
            <w:noWrap w:val="false"/>
          </w:tcPr>
          <w:p>
            <w:pPr>
              <w:ind w:right="61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2199" w:type="dxa"/>
            <w:textDirection w:val="lrTb"/>
            <w:noWrap w:val="false"/>
          </w:tcPr>
          <w:p>
            <w:pPr>
              <w:ind w:right="68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523" w:type="dxa"/>
            <w:textDirection w:val="lrTb"/>
            <w:noWrap w:val="false"/>
          </w:tcPr>
          <w:p>
            <w:pPr>
              <w:ind w:right="54"/>
              <w:jc w:val="right"/>
              <w:spacing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6" w:type="dxa"/>
            <w:textDirection w:val="lrTb"/>
            <w:noWrap w:val="false"/>
          </w:tcPr>
          <w:p>
            <w:pPr>
              <w:ind w:right="66"/>
              <w:jc w:val="center"/>
              <w:spacing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textDirection w:val="lrTb"/>
            <w:noWrap w:val="false"/>
          </w:tcPr>
          <w:p>
            <w:pPr>
              <w:ind w:right="71"/>
              <w:jc w:val="center"/>
              <w:spacing w:line="259" w:lineRule="auto"/>
            </w:pPr>
            <w:r>
              <w:t xml:space="preserve"> </w:t>
            </w:r>
            <w:r/>
          </w:p>
        </w:tc>
      </w:tr>
    </w:tbl>
    <w:p>
      <w:pPr>
        <w:spacing w:after="26" w:line="259" w:lineRule="auto"/>
      </w:pPr>
      <w:r>
        <w:rPr>
          <w:b/>
        </w:rPr>
        <w:t xml:space="preserve"> </w:t>
      </w:r>
      <w:r/>
    </w:p>
    <w:p>
      <w:pPr>
        <w:ind w:left="-5"/>
        <w:spacing w:after="17" w:line="259" w:lineRule="auto"/>
      </w:pPr>
      <w:r>
        <w:rPr>
          <w:b/>
          <w:u w:val="single"/>
        </w:rPr>
        <w:t xml:space="preserve">Передал</w:t>
      </w:r>
      <w:r>
        <w:t xml:space="preserve"> </w:t>
      </w:r>
      <w:r/>
    </w:p>
    <w:p>
      <w:pPr>
        <w:ind w:left="10" w:right="63"/>
      </w:pPr>
      <w:r>
        <w:t xml:space="preserve">Представитель Гарантирующего поставщика: </w:t>
      </w:r>
      <w:r/>
    </w:p>
    <w:p>
      <w:pPr>
        <w:ind w:left="10" w:right="63"/>
      </w:pPr>
      <w:r>
        <w:t xml:space="preserve">Должность:  ФИО:______________ </w:t>
      </w:r>
      <w:r/>
    </w:p>
    <w:p>
      <w:pPr>
        <w:spacing w:after="26" w:line="259" w:lineRule="auto"/>
      </w:pPr>
      <w:r>
        <w:t xml:space="preserve"> </w:t>
      </w:r>
      <w:r/>
    </w:p>
    <w:p>
      <w:pPr>
        <w:ind w:left="-5"/>
        <w:spacing w:after="17" w:line="259" w:lineRule="auto"/>
      </w:pPr>
      <w:r>
        <w:rPr>
          <w:b/>
          <w:u w:val="single"/>
        </w:rPr>
        <w:t xml:space="preserve">Принял</w:t>
      </w:r>
      <w:r>
        <w:t xml:space="preserve"> </w:t>
      </w:r>
      <w:r/>
    </w:p>
    <w:p>
      <w:pPr>
        <w:ind w:left="10" w:right="63"/>
      </w:pPr>
      <w:r>
        <w:t xml:space="preserve">Представитель Застройщика: </w:t>
      </w:r>
      <w:r/>
    </w:p>
    <w:p>
      <w:pPr>
        <w:ind w:left="10" w:right="63"/>
      </w:pPr>
      <w:r>
        <w:t xml:space="preserve">Должность: ФИО:______________ </w:t>
      </w:r>
      <w:r/>
    </w:p>
    <w:p>
      <w:pPr>
        <w:ind w:left="533"/>
        <w:spacing w:line="259" w:lineRule="auto"/>
      </w:pPr>
      <w:r>
        <w:t xml:space="preserve"> </w:t>
      </w:r>
      <w:r/>
    </w:p>
    <w:p>
      <w:pPr>
        <w:ind w:firstLine="709"/>
        <w:jc w:val="both"/>
        <w:spacing w:after="18" w:line="259" w:lineRule="auto"/>
      </w:pPr>
      <w:r>
        <w:t xml:space="preserve"> Примечание: после установки SIM-карт в каналообразующие оборудование необходимо оповестить об этом сотрудников сектора эксплуатации систем учета гарантирующего поставщика по электронной почте </w:t>
      </w:r>
      <w:r>
        <w:rPr>
          <w:b/>
        </w:rPr>
        <w:t xml:space="preserve">___________________________</w:t>
      </w:r>
      <w:r>
        <w:t xml:space="preserve">___</w:t>
      </w:r>
      <w:r>
        <w:t xml:space="preserve">___ </w:t>
      </w:r>
      <w:r/>
    </w:p>
    <w:p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ind w:left="5670" w:right="73"/>
        <w:jc w:val="right"/>
        <w:spacing w:after="109" w:line="259" w:lineRule="auto"/>
      </w:pPr>
      <w:r>
        <w:t xml:space="preserve">Приложение 2 к Порядку </w:t>
      </w:r>
      <w:r/>
    </w:p>
    <w:p>
      <w:pPr>
        <w:ind w:left="5670" w:right="73"/>
        <w:jc w:val="right"/>
        <w:spacing w:after="109" w:line="259" w:lineRule="auto"/>
      </w:pPr>
      <w:r>
        <w:t xml:space="preserve">(Форма) </w:t>
      </w:r>
      <w:r/>
    </w:p>
    <w:p>
      <w:pPr>
        <w:jc w:val="center"/>
      </w:pPr>
      <w:r/>
      <w:r/>
    </w:p>
    <w:p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АКТ</w:t>
      </w:r>
      <w:r>
        <w:rPr>
          <w:b/>
          <w:color w:val="000000"/>
        </w:rPr>
      </w:r>
    </w:p>
    <w:p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приема-передачи в эксплуатацию приборов учета</w:t>
      </w:r>
      <w:r>
        <w:rPr>
          <w:b/>
          <w:color w:val="000000"/>
        </w:rPr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510"/>
        <w:gridCol w:w="255"/>
        <w:gridCol w:w="1644"/>
        <w:gridCol w:w="397"/>
        <w:gridCol w:w="397"/>
        <w:gridCol w:w="454"/>
        <w:gridCol w:w="567"/>
        <w:gridCol w:w="851"/>
      </w:tblGrid>
      <w:tr>
        <w:tblPrEx/>
        <w:trPr>
          <w:jc w:val="center"/>
        </w:trPr>
        <w:tc>
          <w:tcPr>
            <w:tcW w:w="198" w:type="dxa"/>
            <w:vAlign w:val="bottom"/>
            <w:textDirection w:val="lrTb"/>
            <w:noWrap w:val="false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«</w:t>
            </w:r>
            <w:r>
              <w:rPr>
                <w:b/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510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»</w:t>
            </w:r>
            <w:r>
              <w:rPr>
                <w:b/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164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W w:w="397" w:type="dxa"/>
            <w:vAlign w:val="bottom"/>
            <w:textDirection w:val="lrTb"/>
            <w:noWrap w:val="false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20</w:t>
            </w:r>
            <w:r>
              <w:rPr>
                <w:b/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W w:w="454" w:type="dxa"/>
            <w:vAlign w:val="bottom"/>
            <w:textDirection w:val="lrTb"/>
            <w:noWrap w:val="false"/>
          </w:tcPr>
          <w:p>
            <w:pPr>
              <w:ind w:left="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г.</w:t>
            </w:r>
            <w:r>
              <w:rPr>
                <w:b/>
                <w:color w:val="000000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right="85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№</w:t>
            </w:r>
            <w:r>
              <w:rPr>
                <w:b/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851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</w:tr>
    </w:tbl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198"/>
        <w:gridCol w:w="454"/>
        <w:gridCol w:w="255"/>
        <w:gridCol w:w="1644"/>
        <w:gridCol w:w="397"/>
        <w:gridCol w:w="397"/>
        <w:gridCol w:w="454"/>
        <w:gridCol w:w="680"/>
        <w:gridCol w:w="1009"/>
        <w:gridCol w:w="680"/>
        <w:gridCol w:w="608"/>
      </w:tblGrid>
      <w:tr>
        <w:tblPrEx/>
        <w:trPr/>
        <w:tc>
          <w:tcPr>
            <w:tcW w:w="2863" w:type="dxa"/>
            <w:vAlign w:val="bottom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проведения передачи в эксплуатацию:</w:t>
            </w:r>
            <w:r>
              <w:rPr>
                <w:color w:val="000000"/>
              </w:rPr>
            </w:r>
          </w:p>
        </w:tc>
        <w:tc>
          <w:tcPr>
            <w:tcW w:w="198" w:type="dxa"/>
            <w:vAlign w:val="bottom"/>
            <w:textDirection w:val="lrTb"/>
            <w:noWrap w:val="false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«</w:t>
            </w:r>
            <w:r>
              <w:rPr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454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»</w:t>
            </w:r>
            <w:r>
              <w:rPr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1644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97" w:type="dxa"/>
            <w:vAlign w:val="bottom"/>
            <w:textDirection w:val="lrTb"/>
            <w:noWrap w:val="false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20</w:t>
            </w:r>
            <w:r>
              <w:rPr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54" w:type="dxa"/>
            <w:vAlign w:val="bottom"/>
            <w:textDirection w:val="lrTb"/>
            <w:noWrap w:val="false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г. «</w:t>
            </w:r>
            <w:r>
              <w:rPr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680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009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» часов «</w:t>
            </w:r>
            <w:r>
              <w:rPr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680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608" w:type="dxa"/>
            <w:vAlign w:val="bottom"/>
            <w:textDirection w:val="lrTb"/>
            <w:noWrap w:val="false"/>
          </w:tcPr>
          <w:p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» мин</w:t>
            </w:r>
            <w:r>
              <w:rPr>
                <w:color w:val="000000"/>
                <w:lang w:val="en-US"/>
              </w:rPr>
              <w:t xml:space="preserve">.</w:t>
            </w:r>
            <w:r>
              <w:rPr>
                <w:color w:val="000000"/>
                <w:lang w:val="en-US"/>
              </w:rPr>
            </w:r>
          </w:p>
        </w:tc>
      </w:tr>
    </w:tbl>
    <w:p>
      <w:pPr>
        <w:rPr>
          <w:color w:val="000000"/>
        </w:rPr>
      </w:pPr>
      <w:r>
        <w:rPr>
          <w:color w:val="000000"/>
        </w:rPr>
        <w:t xml:space="preserve">Согласно настоящему акту  </w:t>
      </w:r>
      <w:r>
        <w:rPr>
          <w:color w:val="000000"/>
        </w:rPr>
      </w:r>
    </w:p>
    <w:p>
      <w:pPr>
        <w:ind w:left="2870"/>
        <w:jc w:val="center"/>
        <w:rPr>
          <w:color w:val="000000"/>
        </w:rPr>
        <w:pBdr>
          <w:top w:val="single" w:color="000000" w:sz="4" w:space="0"/>
        </w:pBdr>
      </w:pPr>
      <w:r>
        <w:rPr>
          <w:color w:val="000000"/>
        </w:rPr>
        <w:t xml:space="preserve">(наименование застройщика, ИНН)</w:t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center"/>
        <w:rPr>
          <w:color w:val="000000"/>
        </w:rPr>
        <w:pBdr>
          <w:top w:val="single" w:color="000000" w:sz="4" w:space="0"/>
        </w:pBdr>
      </w:pPr>
      <w:r>
        <w:rPr>
          <w:color w:val="000000"/>
        </w:rPr>
        <w:t xml:space="preserve">(фамилия, имя, отчество, должность представителя застройщика)</w:t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/>
        </w:rPr>
        <w:t xml:space="preserve">передал, а  </w:t>
      </w:r>
      <w:r>
        <w:rPr>
          <w:color w:val="000000"/>
        </w:rPr>
      </w:r>
    </w:p>
    <w:p>
      <w:pPr>
        <w:ind w:left="1162"/>
        <w:rPr>
          <w:color w:val="000000"/>
        </w:rPr>
        <w:pBdr>
          <w:top w:val="single" w:color="000000" w:sz="4" w:space="0"/>
        </w:pBdr>
      </w:pPr>
      <w:r>
        <w:rPr>
          <w:color w:val="000000"/>
        </w:rPr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center"/>
        <w:rPr>
          <w:color w:val="000000"/>
        </w:rPr>
        <w:pBdr>
          <w:top w:val="single" w:color="000000" w:sz="4" w:space="0"/>
        </w:pBdr>
      </w:pPr>
      <w:r>
        <w:rPr>
          <w:color w:val="000000"/>
        </w:rPr>
        <w:t xml:space="preserve">(наименование гарантирующего поставщика, ИНН)</w:t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center"/>
        <w:spacing w:after="120"/>
        <w:rPr>
          <w:color w:val="000000"/>
        </w:rPr>
        <w:pBdr>
          <w:top w:val="single" w:color="000000" w:sz="4" w:space="0"/>
        </w:pBdr>
      </w:pPr>
      <w:r>
        <w:rPr>
          <w:color w:val="000000"/>
        </w:rPr>
        <w:t xml:space="preserve">(фамилия, имя, отчество, должность представителя гарантирующего поставщика)</w:t>
      </w:r>
      <w:r>
        <w:rPr>
          <w:color w:val="000000"/>
        </w:rPr>
      </w:r>
    </w:p>
    <w:p>
      <w:pPr>
        <w:spacing w:after="240"/>
        <w:rPr>
          <w:color w:val="000000"/>
        </w:rPr>
      </w:pPr>
      <w:r>
        <w:rPr>
          <w:color w:val="000000"/>
        </w:rPr>
        <w:t xml:space="preserve">принял следующее оборудование:</w:t>
      </w:r>
      <w:r>
        <w:rPr>
          <w:color w:val="000000"/>
        </w:rPr>
      </w:r>
    </w:p>
    <w:p>
      <w:pPr>
        <w:jc w:val="center"/>
        <w:spacing w:after="240"/>
        <w:rPr>
          <w:color w:val="000000"/>
        </w:rPr>
      </w:pPr>
      <w:r>
        <w:rPr>
          <w:color w:val="000000"/>
        </w:rPr>
        <w:t xml:space="preserve">1. Сведения о коллективны</w:t>
      </w:r>
      <w:r>
        <w:rPr>
          <w:color w:val="000000"/>
        </w:rPr>
        <w:t xml:space="preserve">х (общедомовых) приборах учета, </w:t>
      </w:r>
      <w:r>
        <w:rPr>
          <w:color w:val="000000"/>
        </w:rPr>
        <w:br/>
        <w:t xml:space="preserve">установленных в многоквартирном доме (заполняются по каждому </w:t>
      </w:r>
      <w:r>
        <w:rPr>
          <w:color w:val="000000"/>
        </w:rPr>
        <w:br/>
        <w:t xml:space="preserve">коллективному (общедомовому) прибору учета)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1"/>
        <w:gridCol w:w="5148"/>
      </w:tblGrid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Адрес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Место установки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Реквизиты акта допуска к эксплуатации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60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Реквизиты переданного паспорта </w:t>
            </w:r>
            <w:r>
              <w:rPr>
                <w:color w:val="000000"/>
              </w:rPr>
              <w:t xml:space="preserve">прибора учета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after="120"/>
        <w:rPr>
          <w:color w:val="000000"/>
        </w:rPr>
      </w:pPr>
      <w:r>
        <w:rPr>
          <w:color w:val="000000"/>
        </w:rPr>
        <w:t xml:space="preserve">Информация о знаках визуального контроля (пломбах)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4"/>
        <w:gridCol w:w="1621"/>
        <w:gridCol w:w="4634"/>
      </w:tblGrid>
      <w:tr>
        <w:tblPrEx/>
        <w:trPr/>
        <w:tc>
          <w:tcPr>
            <w:tcW w:w="340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Место установки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Номер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4875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организации,</w:t>
            </w:r>
            <w:r>
              <w:rPr>
                <w:color w:val="000000"/>
              </w:rPr>
              <w:br/>
              <w:t xml:space="preserve">установившей пломбу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keepNext/>
        <w:spacing w:after="240"/>
        <w:rPr>
          <w:color w:val="000000"/>
        </w:rPr>
      </w:pPr>
      <w:r>
        <w:rPr>
          <w:color w:val="000000"/>
        </w:rPr>
        <w:t xml:space="preserve">2. Сведения об индивидуальных приборах учета, установленных </w:t>
      </w:r>
      <w:r>
        <w:rPr>
          <w:color w:val="000000"/>
        </w:rPr>
        <w:br/>
        <w:t xml:space="preserve">в многоквартирном доме </w:t>
      </w:r>
      <w:r>
        <w:rPr>
          <w:color w:val="000000"/>
        </w:rPr>
        <w:t xml:space="preserve">(при наличии)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1"/>
        <w:gridCol w:w="5148"/>
      </w:tblGrid>
      <w:tr>
        <w:tblPrEx/>
        <w:trPr>
          <w:cantSplit/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keepNext/>
              <w:rPr>
                <w:color w:val="000000"/>
              </w:rPr>
            </w:pPr>
            <w:r>
              <w:rPr>
                <w:color w:val="000000"/>
              </w:rPr>
              <w:t xml:space="preserve">Адрес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keepNext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Перечень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Места установки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Реквизиты акта допуска к эксплуатации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  <w:trHeight w:val="60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Перечень и реквизиты переданных паспортов приборов учета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before="240" w:after="120"/>
        <w:rPr>
          <w:color w:val="000000"/>
        </w:rPr>
      </w:pPr>
      <w:r>
        <w:rPr>
          <w:color w:val="000000"/>
        </w:rPr>
        <w:t xml:space="preserve">Информация о знаках визуального контроля (пломбах)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4"/>
        <w:gridCol w:w="1621"/>
        <w:gridCol w:w="4634"/>
      </w:tblGrid>
      <w:tr>
        <w:tblPrEx/>
        <w:trPr/>
        <w:tc>
          <w:tcPr>
            <w:tcW w:w="340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Место установки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Номер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4875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организации,</w:t>
            </w:r>
            <w:r>
              <w:rPr>
                <w:color w:val="000000"/>
              </w:rPr>
              <w:br/>
              <w:t xml:space="preserve">установившей пломбу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before="240" w:after="240"/>
        <w:rPr>
          <w:color w:val="000000"/>
        </w:rPr>
      </w:pPr>
      <w:r>
        <w:rPr>
          <w:color w:val="000000"/>
        </w:rPr>
        <w:t xml:space="preserve">3. Сведения об общих (для коммунальных квартир) приборах учета, </w:t>
      </w:r>
      <w:r>
        <w:rPr>
          <w:color w:val="000000"/>
        </w:rPr>
        <w:br/>
        <w:t xml:space="preserve">установленных в многоквартирном доме (при наличии)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1"/>
        <w:gridCol w:w="5148"/>
      </w:tblGrid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Адрес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Перечень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Места установки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Реквизиты акта </w:t>
            </w:r>
            <w:r>
              <w:rPr>
                <w:color w:val="000000"/>
              </w:rPr>
              <w:t xml:space="preserve">допуска к эксплуатации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60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Перечень и реквизиты переданных паспортов приборов учета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before="240" w:after="120"/>
        <w:rPr>
          <w:color w:val="000000"/>
        </w:rPr>
      </w:pPr>
      <w:r>
        <w:rPr>
          <w:color w:val="000000"/>
        </w:rPr>
        <w:t xml:space="preserve">Информация о знаках визуального контроля (пломбах)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4"/>
        <w:gridCol w:w="1621"/>
        <w:gridCol w:w="4634"/>
      </w:tblGrid>
      <w:tr>
        <w:tblPrEx/>
        <w:trPr/>
        <w:tc>
          <w:tcPr>
            <w:tcW w:w="340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Место установки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Номер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4875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организации,</w:t>
            </w:r>
            <w:r>
              <w:rPr>
                <w:color w:val="000000"/>
              </w:rPr>
              <w:br/>
              <w:t xml:space="preserve">установившей пломбу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before="240" w:after="240"/>
        <w:rPr>
          <w:color w:val="000000"/>
        </w:rPr>
      </w:pPr>
      <w:r>
        <w:rPr>
          <w:color w:val="000000"/>
        </w:rPr>
        <w:t xml:space="preserve">4. Сведения об измерительных трансформаторах тока (при наличии) </w:t>
      </w:r>
      <w:r>
        <w:rPr>
          <w:color w:val="000000"/>
        </w:rPr>
        <w:br/>
        <w:t xml:space="preserve">(заполняется по каждому измерительному трансформатору тока)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1"/>
        <w:gridCol w:w="5148"/>
      </w:tblGrid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Адрес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Место установки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6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Реквизиты акта допуска к эксплуатации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600"/>
        </w:trPr>
        <w:tc>
          <w:tcPr>
            <w:tcW w:w="456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Реквизиты переданного паспорта измерительного </w:t>
            </w:r>
            <w:r>
              <w:rPr>
                <w:color w:val="000000"/>
              </w:rPr>
              <w:t xml:space="preserve">трансформатора</w:t>
            </w:r>
            <w:r>
              <w:rPr>
                <w:color w:val="000000"/>
              </w:rPr>
            </w:r>
          </w:p>
        </w:tc>
        <w:tc>
          <w:tcPr>
            <w:tcW w:w="5414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before="240" w:after="120"/>
        <w:rPr>
          <w:color w:val="000000"/>
        </w:rPr>
      </w:pPr>
      <w:r>
        <w:rPr>
          <w:color w:val="000000"/>
        </w:rPr>
        <w:t xml:space="preserve">Информация о знаках визуального контроля (пломбах)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4"/>
        <w:gridCol w:w="1621"/>
        <w:gridCol w:w="4634"/>
      </w:tblGrid>
      <w:tr>
        <w:tblPrEx/>
        <w:trPr/>
        <w:tc>
          <w:tcPr>
            <w:tcW w:w="340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Место установки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Номер</w:t>
            </w:r>
            <w:r>
              <w:rPr>
                <w:color w:val="000000"/>
              </w:rPr>
              <w:br/>
              <w:t xml:space="preserve">пломбы</w:t>
            </w:r>
            <w:r>
              <w:rPr>
                <w:color w:val="000000"/>
              </w:rPr>
            </w:r>
          </w:p>
        </w:tc>
        <w:tc>
          <w:tcPr>
            <w:tcW w:w="4875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организации,</w:t>
            </w:r>
            <w:r>
              <w:rPr>
                <w:color w:val="000000"/>
              </w:rPr>
              <w:br/>
              <w:t xml:space="preserve">установившей пломбу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4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75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before="240" w:after="240"/>
        <w:rPr>
          <w:color w:val="000000"/>
        </w:rPr>
      </w:pPr>
      <w:r>
        <w:rPr>
          <w:color w:val="000000"/>
        </w:rPr>
        <w:t xml:space="preserve">5. Сведения об оборудовании дистанционного сбора данных и способе </w:t>
      </w:r>
      <w:r>
        <w:rPr>
          <w:color w:val="000000"/>
        </w:rPr>
        <w:br/>
      </w:r>
      <w:r>
        <w:rPr>
          <w:color w:val="000000"/>
        </w:rPr>
        <w:t xml:space="preserve">присоединения приборов учета к интеллектуальной системе учета </w:t>
      </w:r>
      <w:r>
        <w:rPr>
          <w:color w:val="000000"/>
        </w:rPr>
        <w:br/>
        <w:t xml:space="preserve">гарантирующего поставщика (при наличии)</w:t>
      </w:r>
      <w:r>
        <w:rPr>
          <w:color w:val="00000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6"/>
        <w:gridCol w:w="1699"/>
        <w:gridCol w:w="2578"/>
        <w:gridCol w:w="1996"/>
      </w:tblGrid>
      <w:tr>
        <w:tblPrEx/>
        <w:trPr/>
        <w:tc>
          <w:tcPr>
            <w:tcW w:w="338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</w:t>
            </w:r>
            <w:r>
              <w:rPr>
                <w:color w:val="000000"/>
              </w:rPr>
            </w:r>
          </w:p>
        </w:tc>
        <w:tc>
          <w:tcPr>
            <w:tcW w:w="178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Устройство сбора и передачи данных</w:t>
            </w:r>
            <w:r>
              <w:rPr>
                <w:color w:val="000000"/>
              </w:rPr>
            </w:r>
          </w:p>
        </w:tc>
        <w:tc>
          <w:tcPr>
            <w:tcW w:w="271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Коммуникационное оборудование</w:t>
            </w:r>
            <w:r>
              <w:rPr>
                <w:color w:val="000000"/>
              </w:rPr>
            </w:r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Прочее </w:t>
            </w:r>
            <w:r>
              <w:rPr>
                <w:color w:val="000000"/>
              </w:rPr>
              <w:br/>
              <w:t xml:space="preserve">(указать)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384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Место установки</w:t>
            </w:r>
            <w:r>
              <w:rPr>
                <w:color w:val="000000"/>
              </w:rPr>
            </w:r>
          </w:p>
        </w:tc>
        <w:tc>
          <w:tcPr>
            <w:tcW w:w="1785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711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384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</w:t>
            </w:r>
            <w:r>
              <w:rPr>
                <w:color w:val="000000"/>
              </w:rPr>
            </w:r>
          </w:p>
        </w:tc>
        <w:tc>
          <w:tcPr>
            <w:tcW w:w="1785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711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384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Заводской номер</w:t>
            </w:r>
            <w:r>
              <w:rPr>
                <w:color w:val="000000"/>
              </w:rPr>
            </w:r>
          </w:p>
        </w:tc>
        <w:tc>
          <w:tcPr>
            <w:tcW w:w="1785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711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384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Перечень</w:t>
            </w:r>
            <w:r>
              <w:rPr>
                <w:color w:val="000000"/>
              </w:rPr>
              <w:t xml:space="preserve"> и реквизиты переданной документации</w:t>
            </w:r>
            <w:r>
              <w:rPr>
                <w:color w:val="000000"/>
              </w:rPr>
            </w:r>
          </w:p>
        </w:tc>
        <w:tc>
          <w:tcPr>
            <w:tcW w:w="1785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711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center"/>
        <w:spacing w:before="240" w:after="240"/>
        <w:rPr>
          <w:color w:val="000000"/>
        </w:rPr>
      </w:pPr>
      <w:r>
        <w:rPr>
          <w:color w:val="000000"/>
        </w:rPr>
        <w:t xml:space="preserve">6. Прочее</w:t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spacing w:after="240"/>
        <w:rPr>
          <w:color w:val="000000"/>
        </w:rPr>
      </w:pPr>
      <w:r>
        <w:rPr>
          <w:color w:val="000000"/>
        </w:rPr>
        <w:t xml:space="preserve">Представитель застройщика</w:t>
      </w:r>
      <w:r>
        <w:rPr>
          <w:color w:val="000000"/>
        </w:rPr>
      </w:r>
    </w:p>
    <w:tbl>
      <w:tblPr>
        <w:tblW w:w="686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0"/>
        <w:gridCol w:w="171"/>
        <w:gridCol w:w="3970"/>
        <w:gridCol w:w="170"/>
      </w:tblGrid>
      <w:tr>
        <w:tblPrEx/>
        <w:trPr>
          <w:jc w:val="center"/>
        </w:trPr>
        <w:tc>
          <w:tcPr>
            <w:tcBorders>
              <w:bottom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1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/</w:t>
            </w:r>
            <w:r>
              <w:rPr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" w:type="dxa"/>
            <w:vAlign w:val="bottom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/</w:t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(подпись)</w:t>
            </w:r>
            <w:r>
              <w:rPr>
                <w:color w:val="000000"/>
              </w:rPr>
            </w:r>
          </w:p>
        </w:tc>
        <w:tc>
          <w:tcPr>
            <w:tcW w:w="171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</w:tcBorders>
            <w:tcW w:w="397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(ф.и.о. представителя)</w:t>
            </w:r>
            <w:r>
              <w:rPr>
                <w:color w:val="000000"/>
              </w:rPr>
            </w:r>
          </w:p>
        </w:tc>
        <w:tc>
          <w:tcPr>
            <w:tcW w:w="170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spacing w:before="240" w:after="240"/>
        <w:rPr>
          <w:color w:val="000000"/>
        </w:rPr>
      </w:pPr>
      <w:r>
        <w:rPr>
          <w:color w:val="000000"/>
        </w:rPr>
        <w:t xml:space="preserve">Представитель гарантирующего поставщика</w:t>
      </w:r>
      <w:r>
        <w:rPr>
          <w:color w:val="000000"/>
        </w:rPr>
      </w:r>
    </w:p>
    <w:tbl>
      <w:tblPr>
        <w:tblW w:w="686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0"/>
        <w:gridCol w:w="171"/>
        <w:gridCol w:w="3970"/>
        <w:gridCol w:w="170"/>
      </w:tblGrid>
      <w:tr>
        <w:tblPrEx/>
        <w:trPr>
          <w:jc w:val="center"/>
        </w:trPr>
        <w:tc>
          <w:tcPr>
            <w:tcBorders>
              <w:bottom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1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/</w:t>
            </w:r>
            <w:r>
              <w:rPr>
                <w:color w:val="000000"/>
              </w:rPr>
            </w:r>
          </w:p>
        </w:tc>
        <w:tc>
          <w:tcPr>
            <w:tcBorders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70" w:type="dxa"/>
            <w:vAlign w:val="bottom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/</w:t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(подпись)</w:t>
            </w:r>
            <w:r>
              <w:rPr>
                <w:color w:val="000000"/>
              </w:rPr>
            </w:r>
          </w:p>
        </w:tc>
        <w:tc>
          <w:tcPr>
            <w:tcW w:w="171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</w:tcBorders>
            <w:tcW w:w="397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(ф.и.о. представителя)</w:t>
            </w:r>
            <w:r>
              <w:rPr>
                <w:color w:val="000000"/>
              </w:rPr>
            </w:r>
          </w:p>
        </w:tc>
        <w:tc>
          <w:tcPr>
            <w:tcW w:w="170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rPr>
          <w:color w:val="000000"/>
        </w:rPr>
        <w:sectPr>
          <w:headerReference w:type="first" r:id="rId11"/>
          <w:footnotePr/>
          <w:endnotePr/>
          <w:type w:val="continuous"/>
          <w:pgSz w:w="11909" w:h="16838" w:orient="portrait"/>
          <w:pgMar w:top="1134" w:right="709" w:bottom="1134" w:left="1701" w:header="709" w:footer="709" w:gutter="0"/>
          <w:pgNumType w:start="10"/>
          <w:cols w:num="1" w:sep="0" w:space="720" w:equalWidth="1"/>
          <w:docGrid w:linePitch="360"/>
          <w:titlePg/>
        </w:sectPr>
      </w:pPr>
      <w:r>
        <w:rPr>
          <w:color w:val="000000"/>
        </w:rPr>
      </w:r>
      <w:r>
        <w:rPr>
          <w:color w:val="000000"/>
        </w:rPr>
      </w:r>
    </w:p>
    <w:p>
      <w:pPr>
        <w:ind w:left="5664"/>
      </w:pPr>
      <w:r/>
      <w:bookmarkStart w:id="0" w:name="_GoBack"/>
      <w:r>
        <w:t xml:space="preserve">Приложение 2 к приказу</w:t>
      </w:r>
      <w:r/>
    </w:p>
    <w:p>
      <w:pPr>
        <w:ind w:left="5664"/>
      </w:pPr>
      <w:r>
        <w:t xml:space="preserve">ПАО «Россети Северный Кавказ»</w:t>
      </w:r>
      <w:r/>
    </w:p>
    <w:p>
      <w:pPr>
        <w:ind w:left="5664"/>
      </w:pPr>
      <w:r>
        <w:rPr>
          <w:bCs/>
          <w:lang w:eastAsia="ar-SA"/>
        </w:rPr>
        <w:t xml:space="preserve">от 21.11.2024 № 363</w:t>
      </w:r>
      <w:bookmarkEnd w:id="0"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и методика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испытаний при приемке систем учета многоквартирных домов, организованных застройщиками, в промышленную эксплуатацию </w:t>
      </w:r>
      <w:r>
        <w:rPr>
          <w:b/>
          <w:sz w:val="28"/>
          <w:szCs w:val="28"/>
        </w:rPr>
        <w:br/>
        <w:t xml:space="preserve">в филиалах ПАО «Россети Северный Кавказ» и АО «Чеченэнерго»</w:t>
      </w:r>
      <w:r>
        <w:rPr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pStyle w:val="759"/>
        <w:ind w:firstLine="567"/>
        <w:jc w:val="both"/>
        <w:spacing w:before="0"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pStyle w:val="759"/>
        <w:ind w:firstLine="567"/>
        <w:jc w:val="both"/>
        <w:spacing w:before="0"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pStyle w:val="759"/>
        <w:ind w:firstLine="567"/>
        <w:jc w:val="both"/>
        <w:spacing w:before="0"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pStyle w:val="759"/>
        <w:ind w:firstLine="567"/>
        <w:jc w:val="both"/>
        <w:spacing w:before="0"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759"/>
        <w:ind w:firstLine="567"/>
        <w:jc w:val="both"/>
        <w:spacing w:before="0"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r/>
      <w:r/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</w:r>
      <w:r>
        <w:rPr>
          <w:rFonts w:ascii="Times New Roman" w:hAnsi="Times New Roman" w:cs="Times New Roman"/>
          <w:b/>
          <w:sz w:val="36"/>
          <w:szCs w:val="28"/>
        </w:rPr>
      </w:r>
    </w:p>
    <w:p>
      <w:pPr>
        <w:spacing w:after="160" w:line="259" w:lineRule="auto"/>
        <w:rPr>
          <w:rFonts w:eastAsia="Arial"/>
          <w:b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r>
        <w:rPr>
          <w:rFonts w:eastAsia="Arial"/>
          <w:b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Общие положения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Перечень и объем испытаний в составе ПМИ соответствует: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ГОСТ 19.301-79 Программа и методика испытаний. Требования </w:t>
      </w:r>
      <w:r>
        <w:rPr>
          <w:sz w:val="28"/>
          <w:szCs w:val="28"/>
        </w:rPr>
        <w:br/>
        <w:t xml:space="preserve">к содержанию и оформлению;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ГОСТ 34.603-92 Виды испытаний автоматизированных систем;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РД 50-34.698-90 Автоматизированные системы. Требова</w:t>
      </w:r>
      <w:r>
        <w:rPr>
          <w:sz w:val="28"/>
          <w:szCs w:val="28"/>
        </w:rPr>
        <w:t xml:space="preserve">ния </w:t>
      </w:r>
      <w:r>
        <w:rPr>
          <w:sz w:val="28"/>
          <w:szCs w:val="28"/>
        </w:rPr>
        <w:br/>
        <w:t xml:space="preserve">к содержанию документов;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ab/>
        <w:t xml:space="preserve">Техническому заданию в составе документации по открытому конкурсу;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 34.01-5.1-009-2021;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 34.01-5.1-010-2021.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9"/>
        <w:ind w:firstLine="56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испытаний: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испытаниях принимают участие представители Заказчика </w:t>
      </w:r>
      <w:r>
        <w:rPr>
          <w:rFonts w:eastAsia="Calibri"/>
          <w:sz w:val="28"/>
          <w:szCs w:val="28"/>
        </w:rPr>
        <w:br/>
        <w:t xml:space="preserve">и Исполнителя. Допускается </w:t>
      </w:r>
      <w:r>
        <w:rPr>
          <w:rFonts w:eastAsia="Calibri"/>
          <w:sz w:val="28"/>
          <w:szCs w:val="28"/>
        </w:rPr>
        <w:t xml:space="preserve">привлечение экспертов из сторонних организаций.</w:t>
      </w:r>
      <w:r>
        <w:rPr>
          <w:rFonts w:eastAsia="Calibri"/>
          <w:sz w:val="28"/>
          <w:szCs w:val="28"/>
        </w:rPr>
      </w:r>
    </w:p>
    <w:p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759"/>
        <w:ind w:firstLine="567"/>
        <w:jc w:val="both"/>
        <w:keepLines w:val="0"/>
        <w:spacing w:before="0" w:after="0"/>
        <w:tabs>
          <w:tab w:val="left" w:pos="851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Перечень документации, предъявляемой на испытания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</w:t>
      </w:r>
      <w:r>
        <w:rPr>
          <w:rFonts w:eastAsia="Calibri"/>
          <w:sz w:val="28"/>
          <w:szCs w:val="28"/>
        </w:rPr>
        <w:tab/>
        <w:t xml:space="preserve">Комплект эксплуатационной документации:</w:t>
      </w:r>
      <w:r>
        <w:rPr>
          <w:rFonts w:eastAsia="Calibri"/>
          <w:sz w:val="28"/>
          <w:szCs w:val="28"/>
        </w:rPr>
      </w:r>
    </w:p>
    <w:p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а) сведения о застройщике (для юридических лиц - полное наименование, основной государственный регистрационный номер в едином государственном реестре юридических лиц и дата внесения в реестр, для индивидуальных предпринимателей </w:t>
      </w:r>
      <w:r>
        <w:rPr>
          <w:rFonts w:eastAsia="Calibri"/>
          <w:sz w:val="28"/>
          <w:szCs w:val="28"/>
        </w:rPr>
        <w:t xml:space="preserve">–</w:t>
      </w:r>
      <w:r>
        <w:rPr>
          <w:rFonts w:eastAsia="Calibri"/>
          <w:sz w:val="28"/>
          <w:szCs w:val="28"/>
        </w:rPr>
        <w:t xml:space="preserve"> основной государственный р</w:t>
      </w:r>
      <w:r>
        <w:rPr>
          <w:rFonts w:eastAsia="Calibri"/>
          <w:sz w:val="28"/>
          <w:szCs w:val="28"/>
        </w:rPr>
        <w:t xml:space="preserve">егистрационный номер индивидуального предпринимателя в едином государственном реестре индивидуальных предпринимателей и дата внесения в реестр);</w:t>
      </w:r>
      <w:r>
        <w:rPr>
          <w:rFonts w:eastAsia="Calibri"/>
          <w:sz w:val="28"/>
          <w:szCs w:val="28"/>
        </w:rPr>
      </w:r>
    </w:p>
    <w:p>
      <w:pPr>
        <w:ind w:firstLine="567"/>
        <w:jc w:val="both"/>
        <w:rPr>
          <w:rFonts w:eastAsia="Calibri"/>
          <w:spacing w:val="-6"/>
          <w:sz w:val="28"/>
          <w:szCs w:val="28"/>
        </w:rPr>
      </w:pPr>
      <w:r>
        <w:rPr>
          <w:rFonts w:eastAsia="Calibri"/>
          <w:spacing w:val="-6"/>
          <w:sz w:val="28"/>
          <w:szCs w:val="28"/>
        </w:rPr>
        <w:t xml:space="preserve">б) копия протокола согласования с гарантирующим поставщиком выбранных инженерно-технических решений (при наличи</w:t>
      </w:r>
      <w:r>
        <w:rPr>
          <w:rFonts w:eastAsia="Calibri"/>
          <w:spacing w:val="-6"/>
          <w:sz w:val="28"/>
          <w:szCs w:val="28"/>
        </w:rPr>
        <w:t xml:space="preserve">и) или подтверждения гарантирующего поставщика о соответствии или несоответствии проектной документации техническим требованиям (при наличии);</w:t>
      </w:r>
      <w:r>
        <w:rPr>
          <w:rFonts w:eastAsia="Calibri"/>
          <w:spacing w:val="-6"/>
          <w:sz w:val="28"/>
          <w:szCs w:val="28"/>
        </w:rPr>
      </w:r>
    </w:p>
    <w:p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в) копия подраздела «Система электроснабжения» раздела проектной документации «Сведения об инженерном оборудовани</w:t>
      </w:r>
      <w:r>
        <w:rPr>
          <w:rFonts w:eastAsia="Calibri"/>
          <w:sz w:val="28"/>
          <w:szCs w:val="28"/>
        </w:rPr>
        <w:t xml:space="preserve">и, о сетях инженерно-технического обеспечения, перечень инженерно-технических мероприятий, содержание технологических решений», включающего инженерно-технические решения по оснащению приборами учета электрической энергии, измерительными трансформаторами (п</w:t>
      </w:r>
      <w:r>
        <w:rPr>
          <w:rFonts w:eastAsia="Calibri"/>
          <w:sz w:val="28"/>
          <w:szCs w:val="28"/>
        </w:rPr>
        <w:t xml:space="preserve">ри необходимости их установки одновременно с коллективным (общедомовым) прибором учета) и иным оборудованием, используется для коммерческого учета электрической энергии (мощности) и обеспечивает возможность присоединения приборов учета электрической энерги</w:t>
      </w:r>
      <w:r>
        <w:rPr>
          <w:rFonts w:eastAsia="Calibri"/>
          <w:sz w:val="28"/>
          <w:szCs w:val="28"/>
        </w:rPr>
        <w:t xml:space="preserve">и к интеллектуальной системе учета электрической энергии (мощности) гарантирующего поставщика, а также возможные способы присоединения приборов учета электрической энергии к элементам интеллектуальной системы учета электрической энергии (мощности);</w:t>
      </w:r>
      <w:r>
        <w:rPr>
          <w:rFonts w:eastAsia="Calibri"/>
          <w:sz w:val="28"/>
          <w:szCs w:val="28"/>
        </w:rPr>
      </w:r>
    </w:p>
    <w:p>
      <w:pPr>
        <w:ind w:firstLine="567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</w:rPr>
        <w:t xml:space="preserve">г) копи</w:t>
      </w:r>
      <w:r>
        <w:rPr>
          <w:rFonts w:eastAsia="Calibri"/>
          <w:sz w:val="28"/>
          <w:szCs w:val="28"/>
        </w:rPr>
        <w:t xml:space="preserve">и технических паспортов на все установленные приборы учета электрической энергии, устройства сбора и передачи данных и иную сопроводительную техническую и гарантийную документацию ко всем прочим установленным приборам, устройствам и оборудованию, необходим</w:t>
      </w:r>
      <w:r>
        <w:rPr>
          <w:rFonts w:eastAsia="Calibri"/>
          <w:sz w:val="28"/>
          <w:szCs w:val="28"/>
        </w:rPr>
        <w:t xml:space="preserve">ым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для обеспечения коммерческого учета электрической энергии и присоединения приборов учета к интеллектуальной системе учета электрической энергии (мощности) гарантирующего поставщика</w:t>
      </w:r>
      <w:r>
        <w:rPr>
          <w:rFonts w:eastAsia="Calibri"/>
          <w:sz w:val="28"/>
          <w:szCs w:val="28"/>
          <w:lang w:eastAsia="zh-CN"/>
        </w:rPr>
      </w:r>
    </w:p>
    <w:p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</w:t>
      </w:r>
      <w:r>
        <w:rPr>
          <w:rFonts w:eastAsia="Calibri"/>
          <w:sz w:val="28"/>
          <w:szCs w:val="28"/>
        </w:rPr>
        <w:tab/>
        <w:t xml:space="preserve">Рабочая документация на пусковой комплекс:</w:t>
      </w:r>
      <w:r>
        <w:rPr>
          <w:rFonts w:eastAsia="Calibri"/>
          <w:sz w:val="28"/>
          <w:szCs w:val="28"/>
        </w:rPr>
      </w:r>
    </w:p>
    <w:p>
      <w:pPr>
        <w:pStyle w:val="976"/>
        <w:numPr>
          <w:ilvl w:val="0"/>
          <w:numId w:val="7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монтажная ведомость;</w:t>
      </w:r>
      <w:r>
        <w:rPr>
          <w:rFonts w:ascii="Times New Roman" w:hAnsi="Times New Roman"/>
          <w:sz w:val="28"/>
          <w:szCs w:val="28"/>
        </w:rPr>
      </w:r>
    </w:p>
    <w:p>
      <w:pPr>
        <w:pStyle w:val="976"/>
        <w:numPr>
          <w:ilvl w:val="0"/>
          <w:numId w:val="7"/>
        </w:numPr>
        <w:ind w:left="0" w:firstLine="567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</w:t>
      </w:r>
      <w:r>
        <w:rPr>
          <w:rFonts w:ascii="Times New Roman" w:hAnsi="Times New Roman"/>
          <w:sz w:val="28"/>
          <w:szCs w:val="28"/>
        </w:rPr>
        <w:t xml:space="preserve">фикация смонтированного оборудования;</w:t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Общие требования</w:t>
      </w:r>
      <w:r>
        <w:rPr>
          <w:rFonts w:eastAsia="Calibri"/>
          <w:b/>
          <w:sz w:val="28"/>
          <w:szCs w:val="28"/>
        </w:rPr>
      </w:r>
    </w:p>
    <w:p>
      <w:pPr>
        <w:ind w:firstLine="567"/>
        <w:rPr>
          <w:rFonts w:eastAsia="Calibri"/>
          <w:sz w:val="18"/>
          <w:szCs w:val="28"/>
        </w:rPr>
      </w:pPr>
      <w:r>
        <w:rPr>
          <w:rFonts w:eastAsia="Calibri"/>
          <w:sz w:val="18"/>
          <w:szCs w:val="28"/>
        </w:rPr>
      </w:r>
      <w:r>
        <w:rPr>
          <w:rFonts w:eastAsia="Calibri"/>
          <w:sz w:val="18"/>
          <w:szCs w:val="28"/>
        </w:rPr>
      </w:r>
    </w:p>
    <w:tbl>
      <w:tblPr>
        <w:tblStyle w:val="975"/>
        <w:tblW w:w="9493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2268"/>
        <w:gridCol w:w="1134"/>
        <w:gridCol w:w="2127"/>
      </w:tblGrid>
      <w:tr>
        <w:tblPrEx/>
        <w:trPr>
          <w:trHeight w:val="761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Критерии установления соответствия параметра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Критерии установления соответствия параметра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Соответ</w:t>
            </w:r>
            <w:r>
              <w:rPr>
                <w:b/>
                <w:sz w:val="20"/>
                <w:szCs w:val="20"/>
              </w:rPr>
            </w:r>
          </w:p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ствует</w:t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(да/нет)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Тестирование</w:t>
            </w:r>
            <w:r>
              <w:rPr>
                <w:rFonts w:eastAsia="Calibri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однократного опроса с момента завершения монтажных работ</w:t>
            </w:r>
            <w:r>
              <w:rPr>
                <w:sz w:val="20"/>
                <w:szCs w:val="20"/>
              </w:rPr>
              <w:t xml:space="preserve"> по ТП в отношении 100% ПУ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опроса в ПК «Пирамида-Сети» (хотя бы по одному измеряемому параметру)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100 % ПУ</w:t>
            </w:r>
            <w:r>
              <w:rPr>
                <w:rFonts w:eastAsia="Calibri"/>
                <w:sz w:val="20"/>
                <w:szCs w:val="20"/>
              </w:rPr>
            </w:r>
          </w:p>
        </w:tc>
      </w:tr>
      <w:tr>
        <w:tblPrEx/>
        <w:trPr>
          <w:trHeight w:val="329"/>
        </w:trPr>
        <w:tc>
          <w:tcPr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значения в ПК «Пирамида-сети» значений Активной энергии приём (А+) на начало суток со всех ПУ по ТП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7 календарных </w:t>
            </w:r>
            <w:r>
              <w:rPr>
                <w:sz w:val="20"/>
                <w:szCs w:val="20"/>
              </w:rPr>
              <w:t xml:space="preserve">дней предшествующих испытаниям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значения Активной энергии приём (А+) в ПК «Пирамида-Сети» 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100 % ПУ</w:t>
            </w:r>
            <w:r>
              <w:rPr>
                <w:rFonts w:eastAsia="Calibri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3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ошибки порядка чередования фаз и формирование векторных диаграмм по 3-фазным приборам учета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векторной диаграммы в ПК «Пирам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ида-Сети»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100 % ПУ</w:t>
            </w:r>
            <w:r>
              <w:rPr>
                <w:rFonts w:eastAsia="Calibri"/>
                <w:sz w:val="20"/>
                <w:szCs w:val="20"/>
              </w:rPr>
            </w:r>
          </w:p>
        </w:tc>
      </w:tr>
      <w:tr>
        <w:tblPrEx/>
        <w:trPr>
          <w:trHeight w:val="329"/>
        </w:trPr>
        <w:tc>
          <w:tcPr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4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Проверяется возможность отключать (возобновлять) потребление электрической энергии с использованием встроенного коммутационного аппарата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состояния реле нагрузки в ПК «Пирамида-Сети» 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100 % ПУ</w:t>
            </w:r>
            <w:r>
              <w:rPr>
                <w:rFonts w:eastAsia="Calibri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5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Проверяется представление результатов измерения, информации о состоянии средств измерения, на уровень ИВК ВУ </w:t>
            </w:r>
            <w:r>
              <w:rPr>
                <w:sz w:val="20"/>
                <w:szCs w:val="20"/>
              </w:rPr>
              <w:br/>
              <w:t xml:space="preserve">и соответствующий АРМ.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данных об энергопотреблении по заданным ПУ и журналы событий с них получаемые из ПК «Пирамида сети»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100 % ПУ</w:t>
            </w:r>
            <w:r>
              <w:rPr>
                <w:rFonts w:eastAsia="Calibri"/>
                <w:sz w:val="20"/>
                <w:szCs w:val="20"/>
              </w:rPr>
            </w:r>
          </w:p>
        </w:tc>
      </w:tr>
    </w:tbl>
    <w:p>
      <w:r/>
      <w:r/>
    </w:p>
    <w:p>
      <w:pPr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Перечень требований к однофазным приборам учета электроэнергии</w:t>
      </w:r>
      <w:r>
        <w:rPr>
          <w:b/>
          <w:sz w:val="28"/>
          <w:szCs w:val="28"/>
        </w:rPr>
      </w:r>
    </w:p>
    <w:p>
      <w:r/>
      <w:r/>
    </w:p>
    <w:tbl>
      <w:tblPr>
        <w:tblStyle w:val="975"/>
        <w:tblW w:w="9493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2268"/>
        <w:gridCol w:w="1134"/>
        <w:gridCol w:w="2127"/>
      </w:tblGrid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параметра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Значения параметров для положительного заключения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Соответ</w:t>
            </w:r>
            <w:r>
              <w:rPr>
                <w:b/>
                <w:sz w:val="20"/>
                <w:szCs w:val="20"/>
              </w:rPr>
            </w:r>
          </w:p>
          <w:p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ствует, да/нет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Тестирование </w:t>
            </w:r>
            <w:r>
              <w:rPr>
                <w:b/>
                <w:sz w:val="20"/>
                <w:szCs w:val="20"/>
              </w:rPr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 этапе испытаний</w:t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deeaf6" w:themeFill="accent1" w:themeFillTint="33"/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deeaf6" w:themeFill="accent1" w:themeFillTint="33"/>
            <w:tcW w:w="878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Общие требования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Измерительные блоки должны </w:t>
            </w:r>
            <w:r>
              <w:rPr>
                <w:sz w:val="20"/>
                <w:szCs w:val="20"/>
              </w:rPr>
              <w:t xml:space="preserve">иметь две цепи тока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Обязательно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Тарифные зоны, не менее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4-х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Встроенные часы реального времени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Обязательно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2"/>
        </w:trPr>
        <w:tc>
          <w:tcPr>
            <w:shd w:val="clear" w:color="ffffff" w:fill="deeaf6" w:themeFill="accent1" w:themeFillTint="33"/>
            <w:tcW w:w="704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shd w:val="clear" w:color="ffffff" w:fill="deeaf6" w:themeFill="accent1" w:themeFillTint="33"/>
            <w:tcW w:w="8789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ФУНКЦИОНАЛЬНЫЕ ТРЕБОВАНИЯ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04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78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измеряемых параметров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vMerge w:val="restart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Измеряемые и рассчитываемые в режиме реального </w:t>
            </w:r>
            <w:r>
              <w:rPr>
                <w:sz w:val="20"/>
                <w:szCs w:val="20"/>
              </w:rPr>
              <w:t xml:space="preserve">времени параметры: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активной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реактивной электроэнергии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напряжение фазное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ток (пофазно)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ток в нулевом проводе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активная, реактивная и полная мощность (пофазно и суммарная величина)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коэффициент мощности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частота сети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небаланс токов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фазном и нулевом проводах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340"/>
        </w:trPr>
        <w:tc>
          <w:tcPr>
            <w:tcW w:w="704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2.1.2.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Измерение качества электроэнергии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положительное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отрицательное отклонение напряжения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погрешностью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хуже класса S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ГОСТ Р 32144-2013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отклонение частоты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 уточнением в части диапазона измерения частоты от 47,5 до 52,5 Гц)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2.2.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78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Функциональные требования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профиль нагрузки за 60-ти минутные интервалы времени,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глубина хранения 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123 суток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активная и реактивная электроэнергия с нарастающим итогом суммарно и раздельно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тарифам за сутки, глубина хранения 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123 суток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формирование профиля нагрузки с программируемым временем интегрирования (для активной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реактивной мощности),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диапазоне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1 до 60 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Длительность сохранения в памяти ПУ информации (измерительных данных, параметров настройки, программ) при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отключенном питании не менее,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2.3.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78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энергонезависимых часов и календаря, обеспечивающих: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ведение даты и времени;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внешнюю ручную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автоматическую коррекцию (синхронизацию);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возможность автоматического переключения на зимнее/летнее время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Ограничение потребления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мощности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дистанционному ограничению/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отключению (считывание состояния реле управления нагрузкой)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67"/>
        </w:trPr>
        <w:tc>
          <w:tcPr>
            <w:shd w:val="clear" w:color="ffffff" w:fill="e2efd9" w:themeFill="accent6" w:themeFillTint="33"/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3.1.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78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Журнала событий с возможностью хранения не менее 100 событий по каждому журналу, фиксирующего время и даты наступления следующих событий: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дата и время вскрытия клеммой крышки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дата и время вскрытия корпуса ПУ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(оборудованный датчиком вскрытия (электронной пломбой)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дата последнего перепрограммирования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973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воздействие магнитного поля, дата и время воздействия постоянного или переменного магнитного поля со значением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модуля вектора магнитной индукции свыше 150 мТл (пиковое значение), вызывающее недопустимое отклонение метрологических характеристик ПУ, визуализированная индикация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факт связи с ПУ, приведший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изменению данных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3.1.6.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отклонение напряжения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измерительных цепях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номинальных значений прибора;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3.1.7.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результатов самодиагностики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3.1.8.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изменение текущих значений времени и даты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синхронизации времени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3.2.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78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при вскрытии клеммной крышки;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воздействии магнитным полем;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при перепараметрировании;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превышении максимальной мощности;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отклонении от нормированного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значения уровня напряжения;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3.3.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78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автоматической самодиагностики с формированием обобщённого сигнала в Журнале событий о работоспособности: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измерительного блока;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вычислительного блока;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таймера;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блока питания;;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3.3.5.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блока памяти (подсчёт контрольной суммы)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deeaf6" w:themeFill="accent1" w:themeFillTint="33"/>
            <w:tcW w:w="70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4.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deeaf6" w:themeFill="accent1" w:themeFillTint="33"/>
            <w:tcW w:w="878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РАДИОИНТЕРФЕЙСУ С РАЗЪЕМОМ ПОД ВНЕШНЮЮ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АНТЕНУ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(при наличии):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защиты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несанкционированного доступа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ПУ через радиоинтерфейс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(на программном уровне – при помощи пароля)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выходного соединителя (вилки) для подключения внешней антенны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Перечень требований к трехфазным ПУ непосредственного</w:t>
      </w:r>
      <w:r>
        <w:rPr>
          <w:b/>
          <w:bCs/>
          <w:sz w:val="28"/>
          <w:szCs w:val="28"/>
        </w:rPr>
      </w:r>
    </w:p>
    <w:p>
      <w:pPr>
        <w:ind w:firstLine="567"/>
        <w:jc w:val="center"/>
        <w:rPr>
          <w:rFonts w:eastAsia="Calibri"/>
          <w:b/>
          <w:sz w:val="28"/>
          <w:szCs w:val="28"/>
          <w:lang w:val="zh-CN"/>
        </w:rPr>
      </w:pPr>
      <w:r>
        <w:rPr>
          <w:b/>
          <w:sz w:val="28"/>
          <w:szCs w:val="28"/>
        </w:rPr>
        <w:t xml:space="preserve"> и трансформаторного включения</w:t>
      </w:r>
      <w:r>
        <w:rPr>
          <w:rFonts w:eastAsia="Calibri"/>
          <w:b/>
          <w:sz w:val="28"/>
          <w:szCs w:val="28"/>
          <w:lang w:val="zh-CN"/>
        </w:rPr>
      </w:r>
    </w:p>
    <w:p>
      <w:pPr>
        <w:ind w:firstLine="567"/>
        <w:rPr>
          <w:rFonts w:eastAsia="Calibri"/>
          <w:b/>
          <w:sz w:val="28"/>
          <w:szCs w:val="28"/>
          <w:lang w:eastAsia="zh-CN"/>
        </w:rPr>
      </w:pPr>
      <w:r>
        <w:rPr>
          <w:rFonts w:eastAsia="Calibri"/>
          <w:b/>
          <w:sz w:val="28"/>
          <w:szCs w:val="28"/>
          <w:lang w:eastAsia="zh-CN"/>
        </w:rPr>
      </w:r>
      <w:r>
        <w:rPr>
          <w:rFonts w:eastAsia="Calibri"/>
          <w:b/>
          <w:sz w:val="28"/>
          <w:szCs w:val="28"/>
          <w:lang w:eastAsia="zh-CN"/>
        </w:rPr>
      </w:r>
    </w:p>
    <w:tbl>
      <w:tblPr>
        <w:tblStyle w:val="975"/>
        <w:tblW w:w="9351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51"/>
        <w:gridCol w:w="3479"/>
        <w:gridCol w:w="1966"/>
        <w:gridCol w:w="1058"/>
        <w:gridCol w:w="2097"/>
      </w:tblGrid>
      <w:tr>
        <w:tblPrEx/>
        <w:trPr>
          <w:trHeight w:val="340"/>
        </w:trPr>
        <w:tc>
          <w:tcPr>
            <w:tcW w:w="75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</w:r>
            <w:r>
              <w:rPr>
                <w:rFonts w:eastAsia="Calibri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Технические требования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Требуемое значение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058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Соответ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ствует, да/нет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Тестирование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этапе испытаний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deeaf6" w:themeFill="accent1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deeaf6" w:themeFill="accent1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Общие требования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ffffff"/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Энергонезависимая память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shd w:val="clear" w:color="ffffff" w:fill="ffffff"/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Встроенные часы реального времени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Ежесуточное тестирование памяти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Визуализация индикации работоспособного состояния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Тарифные зоны, 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4-е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8"/>
        </w:trPr>
        <w:tc>
          <w:tcPr>
            <w:shd w:val="clear" w:color="ffffff" w:fill="deeaf6" w:themeFill="accent1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deeaf6" w:themeFill="accent1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Функциональные требования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34"/>
        </w:trPr>
        <w:tc>
          <w:tcPr>
            <w:shd w:val="clear" w:color="ffffff" w:fill="e2efd9" w:themeFill="accent6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2.1.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измеряемых параметров: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2.1.1.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restart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Измеряемые и рассчитываемые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режиме реального времени параметры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активная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реактивная электроэнергия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двух направлениях (приём, отдача)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continue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напряжение фазное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continue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ток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пофазно)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continue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соотношение активной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реактивной мощности суммарно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по каждой фазе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105"/>
        </w:trPr>
        <w:tc>
          <w:tcPr>
            <w:tcW w:w="751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continue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активная, реактивная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полная мощность (пофазно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суммарная величина)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continue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частота сети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2.1.2.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restart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Измерение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основных показателей качества электроэнергии: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положительное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отрицательное отклонение напряжения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ГОСТ Р 32144-2013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vMerge w:val="continue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отклонение частоты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 уточнением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части диапазона измерения частоты от 47.5 до 52.5 Гц);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2.2.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Измерение энергии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фиксированных интервалах времени (в том числе запись и хранение результатов измерений):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˗ приращения активной и реактивной электроэнергии (приём, отдача)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60-ти минутные интервалы времени, глубина хранения, не менее, суток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˗ приращения активной и реактивной электроэнергии (прием, отдача),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сутки, глубина хранения, не менее, суток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˗ приращения активной и реактивной электроэнергии (прием, отдача),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также запрограммированных параметров,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прошедший месяц, глубина хранения, не менее,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˗ формирование профиля активной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реактивной мощности нагрузки непосредственного и обратного направлений с программируемым интервалом временем интегрирования, в диапазоне, 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1 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Длительность сохранения в памяти ПУ информации (измерительных данных, параметров настройки, программ) при отключенном питании не менее,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энергонезависимых часов и календаря, обеспечивающих: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ведение даты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времени;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внешнюю ручную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автоматическую коррекцию (синхронизацию);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возможность автоматического переключения на зимнее/летнее время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Ограничение потребления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мощности для ПУ непосредственного включения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дистанционному ограничению/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отключению (включению) нагрузки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100 %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2.4.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Журнала событий с возможностью хранения не менее 100 событий по каждому журналу, фиксирующего время и даты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наступления следующих событий: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дата и время вскрытия клеммной крышки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дата и время вскрытия корпуса ПУ (оборудованный датчиком вскрытия (электронной пломбой)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дата последнего перепрограммирования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факт связи с ПУ, приведший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изменению данных;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изменение текущих значений времени и даты при синхронизации времени;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2.4.6.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показатели качества электроэнергии в соответствии с п.2.1.2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2.4.7.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изменение направления перетока мощности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2.4.8.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изменения чередования фаз;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2.4.9.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инициализации ПУ, последнего сброса, число сбросов;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2.4.10.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воздействие магнитного поля, дата и время воздействия постоянного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 переменного магнитного поля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 значением модуля вектора магнитной индукции свыше 150 мТл (пиковое значение), вызывающее недопустимое отклонение метрологических характеристик ПУ, визу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ализированная индикация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перерывы питания;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самодиагностика измерительного блока,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 самодиагностика вычислительного блока,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 самодиагностика таймера,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 самодиагностика блока питания,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2.4.16.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 самодиагностика блока памяти (подсчёт контрольной суммы).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e2efd9" w:themeFill="accent6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2.5.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e2efd9" w:themeFill="accent6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Возможность выступать в качестве инициатора связи с уровнем ИВКЭ или ИВК: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вскрытии клеммной крышки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2.5.2.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воздействии сверхнормативным магнитным полем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при перепараметрировании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2.5.4.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превышении максимальной мощности;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2.5.5.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отклонении от нормированного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значения уровня напряжения;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shd w:val="clear" w:color="ffffff" w:fill="deeaf6" w:themeFill="accent1" w:themeFillTint="33"/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3.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gridSpan w:val="4"/>
            <w:shd w:val="clear" w:color="ffffff" w:fill="deeaf6" w:themeFill="accent1" w:themeFillTint="33"/>
            <w:tcW w:w="8600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к программной и аппаратной совместимости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751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3.1.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3479" w:type="dxa"/>
            <w:vAlign w:val="center"/>
            <w:textDirection w:val="lrTb"/>
            <w:noWrap w:val="false"/>
          </w:tcPr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технической документации на устройство (паспорте или РЭ) информации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совместимости приборов учета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ПО ИВК «Пирамида-сети»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(или с УСПД, совместимым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ПО ИВК «Пирамида-сети»)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966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pStyle w:val="9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>
        <w:rPr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заместителя генерального директора </w:t>
      </w:r>
      <w:r>
        <w:rPr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реализации и развитию услуг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С.В. Пашин</w:t>
      </w:r>
      <w:r>
        <w:rPr>
          <w:sz w:val="28"/>
          <w:szCs w:val="28"/>
        </w:rPr>
      </w:r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/>
      <w:r/>
    </w:p>
    <w:p>
      <w:pPr>
        <w:ind w:firstLine="5670"/>
      </w:pPr>
      <w:r>
        <w:t xml:space="preserve">Приложение 3 к приказу</w:t>
      </w:r>
      <w:r/>
    </w:p>
    <w:p>
      <w:pPr>
        <w:ind w:firstLine="5670"/>
      </w:pPr>
      <w:r>
        <w:t xml:space="preserve">ПАО «Россети</w:t>
      </w:r>
      <w:r>
        <w:t xml:space="preserve"> Северный Кавказ»</w:t>
      </w:r>
      <w:r/>
    </w:p>
    <w:p>
      <w:pPr>
        <w:ind w:left="5670"/>
      </w:pPr>
      <w:r>
        <w:rPr>
          <w:bCs/>
          <w:lang w:eastAsia="ar-SA"/>
        </w:rPr>
        <w:t xml:space="preserve">от 21.11.2024 № 363</w:t>
      </w:r>
      <w:r/>
    </w:p>
    <w:p>
      <w:r/>
      <w:r/>
    </w:p>
    <w:p>
      <w:r/>
      <w:r/>
    </w:p>
    <w:p>
      <w:r/>
      <w:r/>
    </w:p>
    <w:p>
      <w:r/>
      <w:r/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Типовые технические решения оснащения МКД </w:t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приборами учета электроэнергии в филиалах ПАО «Россети Северный Кавказ» и АО «Чеченэнерго»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rPr>
          <w:sz w:val="8"/>
        </w:rPr>
      </w:pPr>
      <w:r>
        <w:rPr>
          <w:sz w:val="8"/>
        </w:rPr>
      </w:r>
      <w:r>
        <w:rPr>
          <w:sz w:val="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Область применения 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Проектная документация на многоквартирный дом (далее – МКД), разрешение на строительство кот</w:t>
      </w:r>
      <w:r>
        <w:rPr>
          <w:sz w:val="28"/>
          <w:szCs w:val="28"/>
        </w:rPr>
        <w:t xml:space="preserve">орого выдано после 01.01.2021</w:t>
      </w:r>
      <w:r>
        <w:rPr>
          <w:sz w:val="28"/>
          <w:szCs w:val="28"/>
        </w:rPr>
        <w:t xml:space="preserve">, должна учитывать настоящие технические требования.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Технические требования устанавливают единые нормы, правила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требования к т</w:t>
      </w:r>
      <w:r>
        <w:rPr>
          <w:sz w:val="28"/>
          <w:szCs w:val="28"/>
        </w:rPr>
        <w:t xml:space="preserve">ехническим решениям оснащения жилых и нежилых помещений в МКД средствами измерений, иным оборудованием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нематериальными активами, обеспечивающими их подсоединение (интегрирование) в интеллектуальную систему учёта электрической энергии (мощности) (далее –</w:t>
      </w:r>
      <w:r>
        <w:rPr>
          <w:sz w:val="28"/>
          <w:szCs w:val="28"/>
        </w:rPr>
        <w:t xml:space="preserve"> ИСУ) гарантирующего поставщика.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Действие технических требований распространяется на организации – застройщики, которые на личном или арендуемом земельном участке планируют возвести многоквартирные жилые дома. 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Нормативное обеспечение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настоящем документе использованы ссылки на следующие нормативно-правовые акты, государственные стандарты и технические регламенты: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Жилищный кодекс Российской Федерации от 29.12.2004 № 188-ФЗ (далее – ЖК РФ);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Градостроительный кодекс Российской Федер</w:t>
      </w:r>
      <w:r>
        <w:rPr>
          <w:sz w:val="28"/>
          <w:szCs w:val="28"/>
        </w:rPr>
        <w:t xml:space="preserve">ации от 29.12.2004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190-ФЗ (далее – ГсК РФ);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Федеральный закон от 27.12.2018 № 522-ФЗ «О внесении изменений в отдельные законодательные акты Российской Федерации в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развитием систем учёта электрической энергии (мощности) в Российской Федерации»</w:t>
      </w:r>
      <w:r>
        <w:rPr>
          <w:sz w:val="28"/>
          <w:szCs w:val="28"/>
        </w:rPr>
        <w:t xml:space="preserve"> (далее – Закон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522-ФЗ);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Федеральный закон от 26.03.2003 № 35-ФЗ «Об электроэнергетике» (далее – Закон №35-ФЗ);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Федеральный закон от 23.11.2009 № 261-ФЗ «Об энергосбережении и о повышении энергетической эффективности, и о внесении изменений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отдель</w:t>
      </w:r>
      <w:r>
        <w:rPr>
          <w:sz w:val="28"/>
          <w:szCs w:val="28"/>
        </w:rPr>
        <w:t xml:space="preserve">ные законодательные акты Российской Федерации» (далее – Закон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261-ФЗ);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Федеральный закон от 27.12.2002 № 184-ФЗ «О техническом регулировании» (далее – Закон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184-ФЗ);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Федеральный закон от 26.06.2008 № 102-ФЗ «Об обеспечении единства измерений» (дале</w:t>
      </w:r>
      <w:r>
        <w:rPr>
          <w:sz w:val="28"/>
          <w:szCs w:val="28"/>
        </w:rPr>
        <w:t xml:space="preserve">е – Закон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102-ФЗ);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Постановление Правительства РФ от 21.12.2020 № 2184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 внесении изменений в некоторые акты Правительства Российской Федерации в части урегулирования вопроса передачи установленных застройщиком приборов учета электрической энергии г</w:t>
      </w:r>
      <w:r>
        <w:rPr>
          <w:sz w:val="28"/>
          <w:szCs w:val="28"/>
        </w:rPr>
        <w:t xml:space="preserve">арантирующим поставщикам» (далее – ПП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2184);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Постановление Правит</w:t>
      </w:r>
      <w:r>
        <w:rPr>
          <w:sz w:val="28"/>
          <w:szCs w:val="28"/>
        </w:rPr>
        <w:t xml:space="preserve">ельства Российской Федерации </w:t>
      </w:r>
      <w:r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 xml:space="preserve">19.06.2020 № 890 «О порядке предоставления доступа к минимальному набору функций интеллектуальных систем учёта электрической энергии (мощности)» (далее –</w:t>
      </w:r>
      <w:r>
        <w:rPr>
          <w:sz w:val="28"/>
          <w:szCs w:val="28"/>
        </w:rPr>
        <w:t xml:space="preserve"> ПП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890);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Постановление Правительства Российской Федерации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04.05.2012 № 442 «О функционировании розничных рынков электрической энергии, полном и (или) частичном ограничении режима потребления электрической энергии» (далее – ПП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442);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Правительства Российской Федерации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06.05.2011 № 354 «О предоставлении коммунальных услуг собственникам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пользователям помещений в многоквартирных домах и жилых домов» (далее – ПП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354);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Постановление Правительства Российской Федераци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17.07.2015 № 719 «О подтверждении производства промышленной продукции на территории Российской Федерации» (далее – ПП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719);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ГОСТ 12.1.038-82 «Электробезопасность.  Предельно допустимые значения напряжений прикосновения и токов»;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ГОСТ 32144-2013</w:t>
      </w:r>
      <w:r>
        <w:rPr>
          <w:sz w:val="28"/>
          <w:szCs w:val="28"/>
        </w:rPr>
        <w:t xml:space="preserve">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СП 31-110-2003 «Проектирование и монтаж электроустановок жилых и общественных зданий»;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СНи</w:t>
      </w:r>
      <w:r>
        <w:rPr>
          <w:sz w:val="28"/>
          <w:szCs w:val="28"/>
        </w:rPr>
        <w:t xml:space="preserve">П 3.05.06-85 «Электротехнические устройства»;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Свод правил СП 256.1325800.2016 «Электроустановки жилых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общественных зданий. Правила проектирования и монтажа» (далее – СП 256.1325800.2016);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Правила устройства электроустановок (далее – ПУЭ);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РД 34.09</w:t>
      </w:r>
      <w:r>
        <w:rPr>
          <w:sz w:val="28"/>
          <w:szCs w:val="28"/>
        </w:rPr>
        <w:t xml:space="preserve">.101-94 «Типовая инструкция по учету электроэнергии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при ее производстве, передаче и распределении» (далее – РД 34.09.101-94);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Правила технической эксплуатации электроустановок потребителей (далее – ПТЭЭП);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Правила учёта электрической энергии. Зарегист</w:t>
      </w:r>
      <w:r>
        <w:rPr>
          <w:sz w:val="28"/>
          <w:szCs w:val="28"/>
        </w:rPr>
        <w:t xml:space="preserve">рировано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Минюсте РФ 24.10.1996 № 1182 (далее – Правила учета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1182);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РМ-2559. «Инструкция по проектированию учета электропотребления в жилых и общественных зданиях» (далее – Инструкция РМ-2559).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Выбранный застройщиком вариант типового технического ре</w:t>
      </w:r>
      <w:r>
        <w:rPr>
          <w:sz w:val="28"/>
          <w:szCs w:val="28"/>
        </w:rPr>
        <w:t xml:space="preserve">шения должен соответствовать нормам, правилам и требованиям указанных правовых актов, государственных стандартов и технических регламентов. Если ссылочный документ был заменен (изменен), следует руководствоваться замененным (измененным) документом. 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Сре</w:t>
      </w:r>
      <w:r>
        <w:rPr>
          <w:b/>
          <w:bCs/>
          <w:sz w:val="28"/>
          <w:szCs w:val="28"/>
        </w:rPr>
        <w:t xml:space="preserve">дства измерений, иное оборудование и нематериальные активы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Под средствами измерений для целей коммерческого учёта электрической энергии (мощности) понимаются следующие материальные объекты: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индивидуальные, общие (для коммунальной квартиры)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колле</w:t>
      </w:r>
      <w:r>
        <w:rPr>
          <w:sz w:val="28"/>
          <w:szCs w:val="28"/>
        </w:rPr>
        <w:t xml:space="preserve">ктивные (общедомовые) приборы учёта электрической энергии (мощности);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измерительные элементы (трансформаторы, резистивные шунты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т.п.);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измерительные комплексы (совокупность приборов учёта, измерительных элементов и др.);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проходные и испытательные </w:t>
      </w:r>
      <w:r>
        <w:rPr>
          <w:sz w:val="28"/>
          <w:szCs w:val="28"/>
        </w:rPr>
        <w:t xml:space="preserve">устройства (образцовый учёт, шунтирование и отключение токовых цепей определенной фазы и т.п.);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вторичные измерительные цепи, соединенные по установленной схеме.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3.2. Под иным оборудованием для целей коммерческого учёта электрической энергии (мощности) </w:t>
      </w:r>
      <w:r>
        <w:rPr>
          <w:sz w:val="28"/>
          <w:szCs w:val="28"/>
        </w:rPr>
        <w:t xml:space="preserve">понимаются материальные объекты: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коммутационные аппараты цепей переменного тока и вторичных измерительных цепей; </w:t>
      </w:r>
      <w:r>
        <w:rPr>
          <w:sz w:val="28"/>
          <w:szCs w:val="28"/>
        </w:rPr>
        <w:t xml:space="preserve"> аппараты защиты средств измерений от токов короткого замыкания;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 оснащение и материалы для следующих целей: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монтаж, пуск, наладка и доп</w:t>
      </w:r>
      <w:r>
        <w:rPr>
          <w:sz w:val="28"/>
          <w:szCs w:val="28"/>
        </w:rPr>
        <w:t xml:space="preserve">уск в эксплуатацию средств измерений в местах их установки;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организация вторичных измерительных цепей, проходных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испытательных устройств;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организации каналов (линий) связи и средств информационного обмена;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сбор (прием), обработка и хранение измер</w:t>
      </w:r>
      <w:r>
        <w:rPr>
          <w:sz w:val="28"/>
          <w:szCs w:val="28"/>
        </w:rPr>
        <w:t xml:space="preserve">ительной информации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учётных данных;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передача управляющих сигналов (команд), сигналов штатных и срочных событий.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Общие требования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Приборы учета электроэнергии, а также иное оборудование, используемые застройщиком при оснащении жилых и нежилых </w:t>
      </w:r>
      <w:r>
        <w:rPr>
          <w:sz w:val="28"/>
          <w:szCs w:val="28"/>
        </w:rPr>
        <w:t xml:space="preserve">помещений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МКД, совместно должны обеспечивать возможность их присоединения к ИСУ гарантирующего поставщика ПК «Пирамида сети», а также прием, обработку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передачу измерительной информации, учётных данных, управляющих сигналов (команд), сигналов </w:t>
      </w:r>
      <w:r>
        <w:rPr>
          <w:sz w:val="28"/>
          <w:szCs w:val="28"/>
        </w:rPr>
        <w:t xml:space="preserve">оповещения о наступлении штатных и срочных событий между  измерительным комплексом  (нижний уровень), устройством сбора и передачи данных (далее – УСПД) (средний уровень) и центром сбора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обработки данных (далее – ЦСОД) (верхний уровень).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Выбранный </w:t>
      </w:r>
      <w:r>
        <w:rPr>
          <w:sz w:val="28"/>
          <w:szCs w:val="28"/>
        </w:rPr>
        <w:t xml:space="preserve">застройщиком вариант технического решения, используемого застройщиком при оснащении жилых и нежилых помещений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МКД, должен обеспечить гарантированный приём, обработку и передачу измерительной информации, учётных данных, управляющих сигналов (команд), сиг</w:t>
      </w:r>
      <w:r>
        <w:rPr>
          <w:sz w:val="28"/>
          <w:szCs w:val="28"/>
        </w:rPr>
        <w:t xml:space="preserve">налов оповещения о наступлении штатных и срочных событий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со всех средств измерения в ПК «Пирамида сети».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Применяемые застройщиком технологии и интерфейсы связи, спецификации и протоколы информационного обмена должны быть ратифицированы в Российской </w:t>
      </w:r>
      <w:r>
        <w:rPr>
          <w:sz w:val="28"/>
          <w:szCs w:val="28"/>
        </w:rPr>
        <w:t xml:space="preserve">Федерации, открытыми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стандартизированными в виде совокупности унифицированных аппаратно-</w:t>
      </w:r>
      <w:r>
        <w:rPr>
          <w:sz w:val="28"/>
          <w:szCs w:val="28"/>
        </w:rPr>
        <w:t xml:space="preserve">программных средств, методов взаимосвязи и взаимодействия, а также поведения функциональных устройств организации каналов (линий)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средств информационного об</w:t>
      </w:r>
      <w:r>
        <w:rPr>
          <w:sz w:val="28"/>
          <w:szCs w:val="28"/>
        </w:rPr>
        <w:t xml:space="preserve">мена, необходимых для гарантированной взаимосвязи с функциональными элементами ПК «Пирамида сети».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 Используемые застройщиком в жилых и нежилых помещениях МКД технологии и интерфейсы связи, спецификации и протоколы информационного обмена между измерит</w:t>
      </w:r>
      <w:r>
        <w:rPr>
          <w:sz w:val="28"/>
          <w:szCs w:val="28"/>
        </w:rPr>
        <w:t xml:space="preserve">ельным комплексом, УСПД и ЦСОД должны быть защищены от несанкционированного вмешательства в процесс приема, обработки и передачи измерительной информации, учётных данных, управляющих сигналов (команд), сигналов оповещения о наступлении штатных и срочных со</w:t>
      </w:r>
      <w:r>
        <w:rPr>
          <w:sz w:val="28"/>
          <w:szCs w:val="28"/>
        </w:rPr>
        <w:t xml:space="preserve">бытий.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Они должны учитывать риски информационной безопасности и оценки угроз, предоставлять возможность создавать защищенные сети информационного обмена данными, в соответствии с требованиями базовой модели угроз, опубликованной на сайте Минэнерго России,</w:t>
      </w:r>
      <w:r>
        <w:rPr>
          <w:sz w:val="28"/>
          <w:szCs w:val="28"/>
        </w:rPr>
        <w:t xml:space="preserve"> определяющей методы защиты информации с использованием сегментации пользователей, идентификации и аутентификации доступа, а также сквозного шифрования каналов (линий) связи. Выбранный застройщиком вариант технического решения должен содержать элементы инф</w:t>
      </w:r>
      <w:r>
        <w:rPr>
          <w:sz w:val="28"/>
          <w:szCs w:val="28"/>
        </w:rPr>
        <w:t xml:space="preserve">ормационной безопасности, действующие до, во время и после возникновения угроз, позволяющие обнаруживать вредоносные программы, сетевые угрозы и своевременно предотвращать возникающие угрозы, а также уменьшать теоретические возможности совершения атак (пре</w:t>
      </w:r>
      <w:r>
        <w:rPr>
          <w:sz w:val="28"/>
          <w:szCs w:val="28"/>
        </w:rPr>
        <w:t xml:space="preserve">днамеренных действий злоумышленников), направленных на нарушение любого из свойств доступности, целостности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конфиденциальности установленных застройщиком в жилых и нежилых помещениях МКД средств измерений, иного оборудования и нематериальных активов.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.5. Выбор варианта технического решения застройщик должен обосновывать результатами инструментального обследования жилых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нежилых помещений в МКД, выполненного для целей установления фактических значений показателя полной мощности принимаемого приёмником</w:t>
      </w:r>
      <w:r>
        <w:rPr>
          <w:sz w:val="28"/>
          <w:szCs w:val="28"/>
        </w:rPr>
        <w:t xml:space="preserve"> сигнала RSSI, обеспечивающих гарантированный прием, обработку и передачу измерительной информации, учётных данных, управляющих сигналов (команд), а также сигналов оповещения о наступлении штатных и срочных событий.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технических решений, используемых т</w:t>
      </w:r>
      <w:r>
        <w:rPr>
          <w:sz w:val="28"/>
          <w:szCs w:val="28"/>
        </w:rPr>
        <w:t xml:space="preserve">ехнологию GSM, фактические значения показателя RSSI в жилых и нежилых помещениях МК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не могут быть хуже -90 dBm (децибелов на милливатт).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Для обеспечения возможности просмотра, настройки, конфигурирования данных в отношении установленного оборудовани</w:t>
      </w:r>
      <w:r>
        <w:rPr>
          <w:sz w:val="28"/>
          <w:szCs w:val="28"/>
        </w:rPr>
        <w:t xml:space="preserve">я должно в полном объеме быть предоставлено программное обеспечение, обеспечивающее без иных дополнительных программных средств полный комплекс пусконаладочных работ по интеграции установленного оборудования с ПК «Пирамида сети». 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Общие требования к при</w:t>
      </w:r>
      <w:r>
        <w:rPr>
          <w:b/>
          <w:bCs/>
          <w:sz w:val="28"/>
          <w:szCs w:val="28"/>
        </w:rPr>
        <w:t xml:space="preserve">борам учета электроэнергии 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Все приборы учета электрической энергии, используемые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оснащения жилых и нежилых помещений в МКД, должны соответствовать нормам, правилам и требованиям законодательства Российской Федерации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 техническом регулировании </w:t>
      </w:r>
      <w:r>
        <w:rPr>
          <w:sz w:val="28"/>
          <w:szCs w:val="28"/>
        </w:rPr>
        <w:t xml:space="preserve">и обеспечении единства измерений (Закон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102-ФЗ). Должны быть допущены к применению в Российской Федерации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включены в Государственный реестр средств измерений. Приборы учёта, УСПД и прочие элементы ИСУ должны соответствовать требованиям Правил предост</w:t>
      </w:r>
      <w:r>
        <w:rPr>
          <w:sz w:val="28"/>
          <w:szCs w:val="28"/>
        </w:rPr>
        <w:t xml:space="preserve">авления доступа к минимальному набору функций интеллектуальных систем учёта электрической энергии (мощности), утверждённых ПП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890. 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Приборы учёта должны соответствовать требованиям постановления ПП №719, при условии наличия таких приборов учета в с</w:t>
      </w:r>
      <w:r>
        <w:rPr>
          <w:sz w:val="28"/>
          <w:szCs w:val="28"/>
        </w:rPr>
        <w:t xml:space="preserve">вободном доступе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соответствующем товарном рынке.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Все приборы учёта электрической энергии (мощности) в составе измерительного комплекса, УСПД должны быть присоединены должны входить в Перечень Вторичного оборудования материалов и систем, допущенны</w:t>
      </w:r>
      <w:r>
        <w:rPr>
          <w:sz w:val="28"/>
          <w:szCs w:val="28"/>
        </w:rPr>
        <w:t xml:space="preserve">х к применению на объектах ПАО «Россети», размещенного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официальном сайте ПАО «Россети» </w:t>
      </w:r>
      <w:r>
        <w:rPr>
          <w:b/>
          <w:sz w:val="28"/>
          <w:szCs w:val="28"/>
        </w:rPr>
        <w:t xml:space="preserve">https://www.rosseti.ru/suppliers/technical-policy/equipment-quality-control/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Все приборы учёта, установленные застройщиком в жилых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нежилых помещениях многок</w:t>
      </w:r>
      <w:r>
        <w:rPr>
          <w:sz w:val="28"/>
          <w:szCs w:val="28"/>
        </w:rPr>
        <w:t xml:space="preserve">вартирного дома, должны иметь на винтах крепления кожуха прибора учёта пломбы с клеймом первичной государственной поверки, а на винтах крепления крышки зажимной платы (клеммной колодки) пломбы с клеймом гарантирующего поставщика. Дата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клейме первичной </w:t>
      </w:r>
      <w:r>
        <w:rPr>
          <w:sz w:val="28"/>
          <w:szCs w:val="28"/>
        </w:rPr>
        <w:t xml:space="preserve">государственной поверки не должна превышать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12 месяцев для трехфазных приборов учёта и 2 лет для однофазных приборов учёта.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В трехфазной цепи переменного тока учёт активной и реактивной электрической энергии (мощности) должен производиться с использо</w:t>
      </w:r>
      <w:r>
        <w:rPr>
          <w:sz w:val="28"/>
          <w:szCs w:val="28"/>
        </w:rPr>
        <w:t xml:space="preserve">ванием трехфазных приборов учёта.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Приборы учета электрической энергии не должны нуждаться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дополнительном программировании и конфигурировании перед установкой, за исключением технологий, предусматривающих программирование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конфигурирование по мест</w:t>
      </w:r>
      <w:r>
        <w:rPr>
          <w:sz w:val="28"/>
          <w:szCs w:val="28"/>
        </w:rPr>
        <w:t xml:space="preserve">у установки.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Приборы учета должны поддерживать режим передачи срочных событий, при которых инициатором передачи является прибор учета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верхний уровень (ЦСОД) через УСПД. В случае построения двухуровневой системы передача срочных событий осуществля</w:t>
      </w:r>
      <w:r>
        <w:rPr>
          <w:sz w:val="28"/>
          <w:szCs w:val="28"/>
        </w:rPr>
        <w:t xml:space="preserve">ется непосредственно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приборов учета.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Уровень ежесуточного сбора информации с установленных приборов учета должен составлять не менее 95 %.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Общие требования к измерительным трансформаторам тока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6.1. Класс точности измерительных трансформаторов тока (далее – ТТ) </w:t>
      </w:r>
      <w:r>
        <w:rPr>
          <w:spacing w:val="-6"/>
          <w:sz w:val="28"/>
          <w:szCs w:val="28"/>
        </w:rPr>
        <w:br/>
      </w:r>
      <w:r>
        <w:rPr>
          <w:spacing w:val="-6"/>
          <w:sz w:val="28"/>
          <w:szCs w:val="28"/>
        </w:rPr>
        <w:t xml:space="preserve">для присоединения расчетных счетчиков электроэнергии должен быть не ниже 0,5. </w:t>
      </w:r>
      <w:r>
        <w:rPr>
          <w:spacing w:val="-6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Вторичные измерительные цепи ТТ подключаются к приборам учёта электрической энергии (мощности) отдельно</w:t>
      </w:r>
      <w:r>
        <w:rPr>
          <w:sz w:val="28"/>
          <w:szCs w:val="28"/>
        </w:rPr>
        <w:t xml:space="preserve"> от вторичных цепей защиты. Использование промежуточных ТТ для подключения приборов учёта электрической энергии (мощности) запрещается.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Нагрузка вторичных измерительных цепей трансформаторов тока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не должна превышать номинальных значений подсоединяем</w:t>
      </w:r>
      <w:r>
        <w:rPr>
          <w:sz w:val="28"/>
          <w:szCs w:val="28"/>
        </w:rPr>
        <w:t xml:space="preserve">ых приборов учёта электрической энергии (мощности).  Трансформаторы тока в сетях напряжением 0,4 кВ должны устанавливаются после коммутационных аппаратов по направлению потока мощности.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Вторичные измерительные цепи ТТ должны выводиться на зажимы (кле</w:t>
      </w:r>
      <w:r>
        <w:rPr>
          <w:sz w:val="28"/>
          <w:szCs w:val="28"/>
        </w:rPr>
        <w:t xml:space="preserve">ммы) проходных испытательных устройств, обеспечивающие закорачивание вторичных измерительных цепей ТТ и отключение по каждой фазе токовых цепей приборов учёта электрической энергии (мощности) при их замене (проверке), а также включение образцового прибора </w:t>
      </w:r>
      <w:r>
        <w:rPr>
          <w:sz w:val="28"/>
          <w:szCs w:val="28"/>
        </w:rPr>
        <w:t xml:space="preserve">учёта электрической энергии (мощности) без отсоединения вторичных измерительных цепей ТТ. Конструкция зажимов (клемм) проходных испытательных устройств должна обеспечивать возможность их пломбирования.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Для организации учета электропотребления и с цель</w:t>
      </w:r>
      <w:r>
        <w:rPr>
          <w:sz w:val="28"/>
          <w:szCs w:val="28"/>
        </w:rPr>
        <w:t xml:space="preserve">ю обеспечения выполнения требований ПУЭ, СП 256.1325800.2016, РД 34.09.101-94, Инструкции РМ-2559 необходимо: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 измерительные ТТ выбирать в соответствии с требованиями гл. 6 Инструкции РМ2559, СП 256.1325800.2016 и расчетной нагрузкой;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 для прибора уче</w:t>
      </w:r>
      <w:r>
        <w:rPr>
          <w:sz w:val="28"/>
          <w:szCs w:val="28"/>
        </w:rPr>
        <w:t xml:space="preserve">та электроэнергии трансформаторного включения должна устанавливаться испытательная коробка и размещаться под прибором учета;</w:t>
      </w:r>
      <w:r>
        <w:rPr>
          <w:sz w:val="28"/>
          <w:szCs w:val="28"/>
        </w:rPr>
      </w:r>
    </w:p>
    <w:p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•</w:t>
      </w:r>
      <w:r>
        <w:rPr>
          <w:spacing w:val="-6"/>
          <w:sz w:val="28"/>
          <w:szCs w:val="28"/>
        </w:rPr>
        <w:tab/>
        <w:t xml:space="preserve">цепи учета должны быть выполнены медным проводом сечением </w:t>
      </w:r>
      <w:r>
        <w:rPr>
          <w:spacing w:val="-6"/>
          <w:sz w:val="28"/>
          <w:szCs w:val="28"/>
        </w:rPr>
        <w:br/>
      </w:r>
      <w:r>
        <w:rPr>
          <w:spacing w:val="-6"/>
          <w:sz w:val="28"/>
          <w:szCs w:val="28"/>
        </w:rPr>
        <w:t xml:space="preserve">не менее 2,5 мм2, промаркированы, проложены единым жгутом и не иметь р</w:t>
      </w:r>
      <w:r>
        <w:rPr>
          <w:spacing w:val="-6"/>
          <w:sz w:val="28"/>
          <w:szCs w:val="28"/>
        </w:rPr>
        <w:t xml:space="preserve">азрывов.</w:t>
      </w:r>
      <w:r>
        <w:rPr>
          <w:spacing w:val="-6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цепи учета должны быть защищены от механических повреждений (проложены в металлорукавах, коробах, трубах ПВХ и т.п.);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контакты вторичной обмотки ТТ должны быть закрыты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несанкционированного доступа, конструкция ТТ должна обеспечивать возмож</w:t>
      </w:r>
      <w:r>
        <w:rPr>
          <w:sz w:val="28"/>
          <w:szCs w:val="28"/>
        </w:rPr>
        <w:t xml:space="preserve">ность опломбирования;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 совместное подключение приборов учета электроэнергии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измерительных приборов к ТТ не допускается. 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color w:val="4472c4"/>
          <w:sz w:val="28"/>
          <w:szCs w:val="28"/>
        </w:rPr>
      </w:pPr>
      <w:r>
        <w:rPr>
          <w:b/>
          <w:bCs/>
          <w:sz w:val="28"/>
          <w:szCs w:val="28"/>
        </w:rPr>
        <w:t xml:space="preserve">7. Общие требования к местам установки</w:t>
      </w:r>
      <w:r>
        <w:rPr>
          <w:b/>
          <w:bCs/>
          <w:color w:val="4472c4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 Приборы учета электроэнергии и иное оборудование должны размещаться в достаточно свобод</w:t>
      </w:r>
      <w:r>
        <w:rPr>
          <w:sz w:val="28"/>
          <w:szCs w:val="28"/>
        </w:rPr>
        <w:t xml:space="preserve">ном, легко доступном и не стесненном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обслуживания месте в сухих помещениях с температурой в зимнее время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не ниже 0°С, на панелях в шкафах (щитах) или в нишах на стенах, имеющих жесткую конструкцию. Допускается размещение приборов учета электроэнергии</w:t>
      </w:r>
      <w:r>
        <w:rPr>
          <w:sz w:val="28"/>
          <w:szCs w:val="28"/>
        </w:rPr>
        <w:t xml:space="preserve"> и иного оборудования в деревянных, пластмассовых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или металлических щитках. Высота от пола до зажимных плат (клеммных </w:t>
      </w:r>
      <w:r>
        <w:rPr>
          <w:sz w:val="28"/>
          <w:szCs w:val="28"/>
        </w:rPr>
        <w:t xml:space="preserve">колодок) приборов учета электроэнергии и иного оборудования должна быть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пределах от 0,8 до 1,7 м. Допускается высота от пола менее 0,8</w:t>
      </w:r>
      <w:r>
        <w:rPr>
          <w:sz w:val="28"/>
          <w:szCs w:val="28"/>
        </w:rPr>
        <w:t xml:space="preserve"> м, но не менее 0,4 м.</w:t>
      </w:r>
      <w:r>
        <w:rPr>
          <w:sz w:val="28"/>
          <w:szCs w:val="28"/>
        </w:rPr>
      </w:r>
    </w:p>
    <w:p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7.2 Для размещения приборов учета электроэнергии и иного оборудования в местах, кроме жилых и нежилых помещений, где существует опасность их механического повреждения (загрязнения) и (или) доступа к ним посторонних лиц, должны быть п</w:t>
      </w:r>
      <w:r>
        <w:rPr>
          <w:sz w:val="28"/>
          <w:szCs w:val="28"/>
        </w:rPr>
        <w:t xml:space="preserve">редусмотрены запирающиеся шкафы (щиты) с окошком на уровне дисплея (индикаторов функционирования). Аналогичные шкафы </w:t>
      </w:r>
      <w:r>
        <w:rPr>
          <w:spacing w:val="-6"/>
          <w:sz w:val="28"/>
          <w:szCs w:val="28"/>
        </w:rPr>
        <w:t xml:space="preserve">(щиты) должны устанавливаться также для совместного размещения приборов учёта электрической энергии (мощности) и измерительных трансформато</w:t>
      </w:r>
      <w:r>
        <w:rPr>
          <w:spacing w:val="-6"/>
          <w:sz w:val="28"/>
          <w:szCs w:val="28"/>
        </w:rPr>
        <w:t xml:space="preserve">ров тока. </w:t>
      </w:r>
      <w:r>
        <w:rPr>
          <w:spacing w:val="-6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Конструкции, типоразмеры и схемы крепления шкафов (щитов)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размещения средств измерений и иного оборудования должны обеспечивать возможность: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 свободного и не стесненного доступа для обслуживающего персонала к зажимам (клеммам) подкл</w:t>
      </w:r>
      <w:r>
        <w:rPr>
          <w:sz w:val="28"/>
          <w:szCs w:val="28"/>
        </w:rPr>
        <w:t xml:space="preserve">ючения приборов учета электроэнергии и иного оборудования;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 удобной установки (замены) приборов учета электроэнергии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иного оборудования с лицевой стороны.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Прокладка цепей переменного тока и вторичных измерительных цепей к приборам учета электро</w:t>
      </w:r>
      <w:r>
        <w:rPr>
          <w:sz w:val="28"/>
          <w:szCs w:val="28"/>
        </w:rPr>
        <w:t xml:space="preserve">энергии и иному оборудованию должны отвечать требованиям гл. 2.1 и 3.4. ПУЭ.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Сечение проводников кабелей, подсоединяемых к приборам учета электроэнергии и иному оборудованию, должны приниматься в соответствии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требованиями п.3.4.4 ПУЭ.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7.6. При монтаже проводников для непосредственного подключения приборов учета электроэнергии и иного оборудования перед зажимами (клеммами) необходимо оставлять свободные концы проводников длиной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не менее 120 мм. Изоляция проводников (фаз и нейтрали) на д</w:t>
      </w:r>
      <w:r>
        <w:rPr>
          <w:sz w:val="28"/>
          <w:szCs w:val="28"/>
        </w:rPr>
        <w:t xml:space="preserve">лине не менее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100 мм должна иметь отличительную маркировку проводников по цвету.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7.7. Для безопасной установки (замены) приборов учета электроэнергии и иного оборудования в сетях напряжением 0,4 кВ должна предусматриваться возможность отключения (снятие н</w:t>
      </w:r>
      <w:r>
        <w:rPr>
          <w:sz w:val="28"/>
          <w:szCs w:val="28"/>
        </w:rPr>
        <w:t xml:space="preserve">апряжения) со всех питающих фаз приборов учета электроэнергии и иного оборудования коммутационными аппаратами (предохранителями), установленными на расстоянии не более 10 м до них.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Для целей безопасной установки (замены) и технического обслуживания пр</w:t>
      </w:r>
      <w:r>
        <w:rPr>
          <w:sz w:val="28"/>
          <w:szCs w:val="28"/>
        </w:rPr>
        <w:t xml:space="preserve">иборов учета электроэнергии и иного оборудования в местах их размещения нужно исключить наличие открытых (неизолированных) токоведущих частей.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7.9. Заземление (зануление) приборов учета электроэнергии и иного оборудования должно выполняться в соответствии </w:t>
      </w:r>
      <w:r>
        <w:rPr>
          <w:sz w:val="28"/>
          <w:szCs w:val="28"/>
        </w:rPr>
        <w:t xml:space="preserve">с требованиями гл.1.7. ПУЭ. Проводники заземления (зануления) от приборов учета и иного оборудования до ближайшей сборки зажимов (клемм) заземления (зануления) должны быть выполнены из меди.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7.10. Если объект автоматизации имеет несколько подсоединений (вв</w:t>
      </w:r>
      <w:r>
        <w:rPr>
          <w:sz w:val="28"/>
          <w:szCs w:val="28"/>
        </w:rPr>
        <w:t xml:space="preserve">одов) с раздельным учётом электрической энергии (мощности), на панелях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шкафах (щитах) или в нишах размещения средств измерений должны быть надписи с наименованием присоединений. 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Техническое решение №1. Оснащение жилых и нежилых помещений в МКД приборам</w:t>
      </w:r>
      <w:r>
        <w:rPr>
          <w:b/>
          <w:bCs/>
          <w:sz w:val="28"/>
          <w:szCs w:val="28"/>
        </w:rPr>
        <w:t xml:space="preserve">и учета электроэнергии, а также иным оборудованием на основе промышленного интерфейса RS-485.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приборы учёта электроэнергии в составе измерительного комплекса должны быть оснащены универсальными приема-передатчиками промышленного интерфейса RS-485, обес</w:t>
      </w:r>
      <w:r>
        <w:rPr>
          <w:sz w:val="28"/>
          <w:szCs w:val="28"/>
        </w:rPr>
        <w:t xml:space="preserve">печивающими гарантированный приём, обработку и передачу измерительной информации, учётных данных, управляющих сигналов (команд), а также сигналов оповещения о наступлении штатных и срочных событий на УСПД. Обмен измерительной информацией, учётными данными,</w:t>
      </w:r>
      <w:r>
        <w:rPr>
          <w:sz w:val="28"/>
          <w:szCs w:val="28"/>
        </w:rPr>
        <w:t xml:space="preserve"> управляющими сигналами (командами) и сигналами оповещения между измерительным комплексом и УСПД системы осуществляется по одному организованному каналу (линии)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использованием промышленного интерфейса RS-485 со скоростью не менее 9600 бит/с.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канала (линии) связи между приборами учёта в составе измерительного комплекса и УСПД должна быть проложена внутридомовая экранированная кабельная сеть (общая проводная шина витая пара), по которой осуществляется прием, обработка и передача унифи</w:t>
      </w:r>
      <w:r>
        <w:rPr>
          <w:sz w:val="28"/>
          <w:szCs w:val="28"/>
        </w:rPr>
        <w:t xml:space="preserve">цированных дискретных сигналов с использованием промышленного интерфейса RS-485.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УСПД должны быть оснащены на входе универсальными приема-передатчиками промышленного интерфейса RS-485, а на выходе – проводным соединением через Интернет провайдера (предпочт</w:t>
      </w:r>
      <w:r>
        <w:rPr>
          <w:sz w:val="28"/>
          <w:szCs w:val="28"/>
        </w:rPr>
        <w:t xml:space="preserve">ительно)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и/или мультичастотными GSM-модемами, поддерживающими стандарты GPRS, EDGE и LTE, обеспечивающими прием, обработку и передачу измерительной информации, учётных данных, управляющих сигналов (команд) и сигналов оповещения о наступлении штатных и сро</w:t>
      </w:r>
      <w:r>
        <w:rPr>
          <w:sz w:val="28"/>
          <w:szCs w:val="28"/>
        </w:rPr>
        <w:t xml:space="preserve">чных событий на ЦСОД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обратно.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color w:val="4472c4"/>
          <w:sz w:val="28"/>
          <w:szCs w:val="28"/>
        </w:rPr>
      </w:pPr>
      <w:r>
        <w:rPr>
          <w:sz w:val="28"/>
          <w:szCs w:val="28"/>
        </w:rPr>
        <w:t xml:space="preserve"> Между УСПД и ЦСОД должна быть организована беспроводная сеть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использованием проводного соединения через Интернет-провайдера или технологии GSM стандартов GPRS, EDGE и LTE.</w:t>
      </w:r>
      <w:r>
        <w:rPr>
          <w:b/>
          <w:bCs/>
          <w:color w:val="4472c4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Техническое решение №2. Оснащение МКД приборами</w:t>
      </w:r>
      <w:r>
        <w:rPr>
          <w:b/>
          <w:bCs/>
          <w:sz w:val="28"/>
          <w:szCs w:val="28"/>
        </w:rPr>
        <w:t xml:space="preserve"> учета электроэнергии, а также иным оборудованием на основе технологии PLC.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приборы в составе измерительного комплекса (нижний уровень) должны быть оснащены универсальными модулями информационного обмена технологий PLC (Power Line Communications), обес</w:t>
      </w:r>
      <w:r>
        <w:rPr>
          <w:sz w:val="28"/>
          <w:szCs w:val="28"/>
        </w:rPr>
        <w:t xml:space="preserve">печивающими гарантированный приём, обработку и передачу измерительной информации, учётных данных, управляющих сигналов (команд), а также сигналов оповещения о наступлении штатных и срочных событий на УСПД со скоростью не менее 1200 бит/с.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Обмен измерительн</w:t>
      </w:r>
      <w:r>
        <w:rPr>
          <w:sz w:val="28"/>
          <w:szCs w:val="28"/>
        </w:rPr>
        <w:t xml:space="preserve">ой информацией, учётными данными, управляющими сигналами (командами) и сигналами оповещения о наступлении штатных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срочных событий между измерительным комплексом и УСПД осуществляется по каналу (линиям) связи (основному).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канала связи должны </w:t>
      </w:r>
      <w:r>
        <w:rPr>
          <w:sz w:val="28"/>
          <w:szCs w:val="28"/>
        </w:rPr>
        <w:t xml:space="preserve">быть использованы внутридомовые низковольтные (0,4 кВ) линии электропередачи, по которым осуществляется приём, обработка и передача унифицированных дискретных сигналов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использованием узкополосной технологии PLC и стандартизированных спецификаций сетевых</w:t>
      </w:r>
      <w:r>
        <w:rPr>
          <w:sz w:val="28"/>
          <w:szCs w:val="28"/>
        </w:rPr>
        <w:t xml:space="preserve"> протоколов PLC, PLC-PRIME, G3-PLC.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УСПД должны быть оснащены на входе универсальными приёма-передатчиками технологии PLC, в соответствии с ГОСТ Р 51317.3.8-99,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а на выходе – проводным соединением через Интернет-провайдера (предпочтительно) или мультичас</w:t>
      </w:r>
      <w:r>
        <w:rPr>
          <w:sz w:val="28"/>
          <w:szCs w:val="28"/>
        </w:rPr>
        <w:t xml:space="preserve">тотными GSM-модемами, поддерживающими стандарты GPRS, EDGE и LTE, обеспечивающими приём, обработку и передачу измерительной информации, учётных данных, управляющих сигналов (команд) и сигналов оповещения о наступлении штатных и срочных событий на ЦСОД и об</w:t>
      </w:r>
      <w:r>
        <w:rPr>
          <w:sz w:val="28"/>
          <w:szCs w:val="28"/>
        </w:rPr>
        <w:t xml:space="preserve">ратно.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color w:val="4472c4"/>
          <w:sz w:val="28"/>
          <w:szCs w:val="28"/>
        </w:rPr>
      </w:pPr>
      <w:r>
        <w:rPr>
          <w:sz w:val="28"/>
          <w:szCs w:val="28"/>
        </w:rPr>
        <w:t xml:space="preserve">Между УСПД и ЦСОД должна быть организована беспроводная сеть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использованием проводного соединения через Интернет-провайдера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или технологии GSM стандартов GPRS, EDGE и LTE.</w:t>
      </w:r>
      <w:r>
        <w:rPr>
          <w:b/>
          <w:bCs/>
          <w:color w:val="4472c4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Техническое решение №3. Оснащение МКД приборами учета электроэнергии, а т</w:t>
      </w:r>
      <w:r>
        <w:rPr>
          <w:b/>
          <w:bCs/>
          <w:sz w:val="28"/>
          <w:szCs w:val="28"/>
        </w:rPr>
        <w:t xml:space="preserve">акже иным оборудованием на основе GSM стандартов GPRS, EDGE, LTE и NB-IoT.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приборы в составе измерительного комплекса (нижний уровень) должны быть оснащены мультичастотными модулями информационного обмена технологии GSM (Global System for Mobile сommun</w:t>
      </w:r>
      <w:r>
        <w:rPr>
          <w:sz w:val="28"/>
          <w:szCs w:val="28"/>
        </w:rPr>
        <w:t xml:space="preserve">ications) стандартов GPRS, EDGE, LTE и NB-IoT, обеспечивающими гарантированный прием, обработку и передачу измерительной информации, учётных данных, управляющих сигналов (команд), а также сигналов оповещения о наступлении штатных и срочных событий непосред</w:t>
      </w:r>
      <w:r>
        <w:rPr>
          <w:sz w:val="28"/>
          <w:szCs w:val="28"/>
        </w:rPr>
        <w:t xml:space="preserve">ственно на ЦСОД.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Обмен измерительной информацией, учётными данными, управляющими сигналами (командами) и сигналами оповещения о наступлении штатных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срочных событий между измерительным комплексом и УСПД осуществляется по каналу (линиям) связи (основному)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Обмен измерительной информацией, учётными данными, управляющими сигналами (командами), сигналами оповещения о наступлении штатных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срочных событий между измерительным комплексом (нижний уровень)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ЦСОД осуществляется по одному из организованных кана</w:t>
      </w:r>
      <w:r>
        <w:rPr>
          <w:sz w:val="28"/>
          <w:szCs w:val="28"/>
        </w:rPr>
        <w:t xml:space="preserve">лов (линий)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использованием технологии GSM стандартов GPRS, EDGE, LTE и NB-IoT.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канала (линии) связи между приборами учёта в составе измерительного комплекса (нижний уровень) и ЦСОД (верхний уровень) используется действующая инфраструкту</w:t>
      </w:r>
      <w:r>
        <w:rPr>
          <w:sz w:val="28"/>
          <w:szCs w:val="28"/>
        </w:rPr>
        <w:t xml:space="preserve">ра сотовой сети мобильной связи,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 которой осуществляется приема-передача унифицированных дискретных сигналов с использованием технологии GSM стандартов GPRS, EDGE, LTE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NB-IoT и стандартизированной спецификации сетевых протоколов CSD, HSCSD, CDMA, UMT</w:t>
      </w:r>
      <w:r>
        <w:rPr>
          <w:sz w:val="28"/>
          <w:szCs w:val="28"/>
        </w:rPr>
        <w:t xml:space="preserve">S, HSUPA, WiMax, LTE, SMS и NBIoT.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>
        <w:rPr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заместителя генерального директора </w:t>
      </w:r>
      <w:r>
        <w:rPr>
          <w:sz w:val="28"/>
          <w:szCs w:val="28"/>
        </w:rPr>
      </w:r>
    </w:p>
    <w:p>
      <w:pPr>
        <w:tabs>
          <w:tab w:val="left" w:pos="751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реализации и развитию услуг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С.В. Пашин</w:t>
      </w:r>
      <w:r>
        <w:rPr>
          <w:sz w:val="28"/>
          <w:szCs w:val="28"/>
        </w:rPr>
      </w:r>
    </w:p>
    <w:p>
      <w:pPr>
        <w:ind w:left="5812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left="5812"/>
        <w:rPr>
          <w:color w:val="000000"/>
          <w:sz w:val="22"/>
          <w:szCs w:val="28"/>
          <w:lang w:eastAsia="en-US"/>
        </w:rPr>
      </w:pPr>
      <w:r>
        <w:rPr>
          <w:color w:val="000000"/>
          <w:sz w:val="22"/>
          <w:szCs w:val="28"/>
          <w:lang w:eastAsia="en-US"/>
        </w:rPr>
      </w:r>
      <w:r>
        <w:rPr>
          <w:color w:val="000000"/>
          <w:sz w:val="22"/>
          <w:szCs w:val="28"/>
          <w:lang w:eastAsia="en-US"/>
        </w:rPr>
      </w:r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/>
      <w:r/>
    </w:p>
    <w:p>
      <w:pPr>
        <w:ind w:left="5812"/>
      </w:pPr>
      <w:r>
        <w:t xml:space="preserve">Приложение 4 к приказу</w:t>
      </w:r>
      <w:r/>
    </w:p>
    <w:p>
      <w:pPr>
        <w:ind w:left="5812"/>
      </w:pPr>
      <w:r>
        <w:t xml:space="preserve">ПАО «Россети Северный Кавказ»</w:t>
      </w:r>
      <w:r/>
    </w:p>
    <w:p>
      <w:pPr>
        <w:ind w:left="5812"/>
      </w:pPr>
      <w:r>
        <w:rPr>
          <w:bCs/>
          <w:lang w:eastAsia="ar-SA"/>
        </w:rPr>
        <w:t xml:space="preserve">от 21.11.2024 № 363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ПРИЕМОЧНОЙ КОМИССИИ ПО ПРОВЕРКЕ И ПРИЕМКЕ</w:t>
      </w:r>
      <w:r>
        <w:rPr>
          <w:b/>
          <w:sz w:val="28"/>
          <w:szCs w:val="28"/>
        </w:rPr>
        <w:br/>
        <w:t xml:space="preserve">В ПРОМЫШЛЕННУЮ ЭКСАПЛУАТАЦИЮ СИСТЕМ УЧЕТА, СОЗДАННЫХ ЗАСТРОЙЩИКОМ МКД</w:t>
      </w:r>
      <w:r>
        <w:rPr>
          <w:b/>
          <w:sz w:val="28"/>
          <w:szCs w:val="28"/>
        </w:rPr>
      </w:r>
    </w:p>
    <w:tbl>
      <w:tblPr>
        <w:tblStyle w:val="975"/>
        <w:tblpPr w:horzAnchor="margin" w:tblpXSpec="left" w:vertAnchor="page" w:tblpY="4071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4653"/>
        <w:gridCol w:w="4653"/>
      </w:tblGrid>
      <w:tr>
        <w:tblPrEx/>
        <w:trPr>
          <w:trHeight w:val="570"/>
        </w:trPr>
        <w:tc>
          <w:tcPr>
            <w:tcW w:w="4653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Должность</w:t>
            </w:r>
            <w:r>
              <w:rPr>
                <w:b/>
              </w:rPr>
            </w:r>
          </w:p>
        </w:tc>
        <w:tc>
          <w:tcPr>
            <w:tcW w:w="4653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Ф.И.О.</w:t>
            </w:r>
            <w:r>
              <w:rPr>
                <w:b/>
              </w:rPr>
            </w:r>
          </w:p>
        </w:tc>
      </w:tr>
      <w:tr>
        <w:tblPrEx/>
        <w:trPr>
          <w:trHeight w:val="570"/>
        </w:trPr>
        <w:tc>
          <w:tcPr>
            <w:gridSpan w:val="2"/>
            <w:tcW w:w="9306" w:type="dxa"/>
            <w:textDirection w:val="lrTb"/>
            <w:noWrap w:val="false"/>
          </w:tcPr>
          <w:p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От филиала ПАО «Россети Северный Кавказ»-«______» (АО «Чеченэнерго»)</w:t>
            </w:r>
            <w:r>
              <w:rPr>
                <w:b/>
                <w:i/>
              </w:rPr>
            </w:r>
          </w:p>
        </w:tc>
      </w:tr>
      <w:tr>
        <w:tblPrEx/>
        <w:trPr>
          <w:trHeight w:val="596"/>
        </w:trPr>
        <w:tc>
          <w:tcPr>
            <w:tcW w:w="4653" w:type="dxa"/>
            <w:textDirection w:val="lrTb"/>
            <w:noWrap w:val="false"/>
          </w:tcPr>
          <w:p>
            <w:r>
              <w:t xml:space="preserve">Заместитель </w:t>
            </w:r>
            <w:r>
              <w:t xml:space="preserve">директора филиала – директор отделения «Энергосбыт»</w:t>
            </w:r>
            <w:r/>
          </w:p>
        </w:tc>
        <w:tc>
          <w:tcPr>
            <w:tcW w:w="4653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0"/>
        </w:trPr>
        <w:tc>
          <w:tcPr>
            <w:tcW w:w="4653" w:type="dxa"/>
            <w:textDirection w:val="lrTb"/>
            <w:noWrap w:val="false"/>
          </w:tcPr>
          <w:p>
            <w:r>
              <w:t xml:space="preserve">Руководитель подразделения </w:t>
            </w:r>
            <w:r>
              <w:br/>
            </w:r>
            <w:r>
              <w:t xml:space="preserve">по эксплуатации автоматизированных систем учета электроэнергии</w:t>
            </w:r>
            <w:r/>
          </w:p>
        </w:tc>
        <w:tc>
          <w:tcPr>
            <w:tcW w:w="4653" w:type="dxa"/>
            <w:textDirection w:val="lrTb"/>
            <w:noWrap w:val="false"/>
          </w:tcPr>
          <w:p>
            <w:r/>
            <w:r/>
          </w:p>
        </w:tc>
      </w:tr>
    </w:tbl>
    <w:p>
      <w:pPr>
        <w:spacing w:after="160" w:line="259" w:lineRule="auto"/>
        <w:rPr>
          <w:b/>
          <w:sz w:val="22"/>
          <w:szCs w:val="28"/>
        </w:rPr>
      </w:pPr>
      <w:r>
        <w:rPr>
          <w:b/>
          <w:sz w:val="28"/>
          <w:szCs w:val="28"/>
        </w:rPr>
        <w:br w:type="page" w:clear="all"/>
      </w:r>
      <w:r>
        <w:rPr>
          <w:b/>
          <w:sz w:val="22"/>
          <w:szCs w:val="28"/>
        </w:rPr>
      </w:r>
    </w:p>
    <w:p>
      <w:pPr>
        <w:ind w:left="5812"/>
      </w:pPr>
      <w:r>
        <w:t xml:space="preserve">Приложение 5 к приказу</w:t>
      </w:r>
      <w:r/>
    </w:p>
    <w:p>
      <w:pPr>
        <w:ind w:left="5812"/>
      </w:pPr>
      <w:r>
        <w:t xml:space="preserve">ПАО «Россети Северный Кавказ»</w:t>
      </w:r>
      <w:r/>
    </w:p>
    <w:p>
      <w:pPr>
        <w:ind w:left="5812"/>
      </w:pPr>
      <w:r>
        <w:rPr>
          <w:bCs/>
          <w:lang w:eastAsia="ar-SA"/>
        </w:rPr>
        <w:t xml:space="preserve">от 21.11.2024 № 363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Список рассылки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(филиалы ПАО «Россети Северный Кавказ», АО «Чеченэнерго»)</w:t>
      </w:r>
      <w:r>
        <w:rPr>
          <w:b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Style w:val="975"/>
        <w:tblW w:w="10095" w:type="dxa"/>
        <w:tblInd w:w="-2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2"/>
        <w:gridCol w:w="7162"/>
        <w:gridCol w:w="283"/>
        <w:gridCol w:w="2268"/>
      </w:tblGrid>
      <w:tr>
        <w:tblPrEx/>
        <w:trPr>
          <w:trHeight w:val="580"/>
        </w:trPr>
        <w:tc>
          <w:tcPr>
            <w:tcW w:w="382" w:type="dxa"/>
            <w:textDirection w:val="lrTb"/>
            <w:noWrap w:val="false"/>
          </w:tcPr>
          <w:p>
            <w:pPr>
              <w:pStyle w:val="976"/>
              <w:numPr>
                <w:ilvl w:val="0"/>
                <w:numId w:val="1"/>
              </w:numPr>
              <w:ind w:left="313" w:hanging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62" w:type="dxa"/>
            <w:textDirection w:val="lrTb"/>
            <w:noWrap w:val="false"/>
          </w:tcPr>
          <w:p>
            <w:pPr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Исполняющий обязанности директора филиала </w:t>
            </w:r>
            <w:r>
              <w:rPr>
                <w:sz w:val="28"/>
                <w:szCs w:val="28"/>
                <w:lang w:eastAsia="en-US"/>
              </w:rPr>
              <w:br/>
              <w:t xml:space="preserve">ПАО «Россети Северный Кавказ» - «Ингушэнерго»</w:t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ind w:hanging="2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Барахоев Р.Ю.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95"/>
        </w:trPr>
        <w:tc>
          <w:tcPr>
            <w:tcW w:w="382" w:type="dxa"/>
            <w:textDirection w:val="lrTb"/>
            <w:noWrap w:val="false"/>
          </w:tcPr>
          <w:p>
            <w:pPr>
              <w:pStyle w:val="976"/>
              <w:numPr>
                <w:ilvl w:val="0"/>
                <w:numId w:val="1"/>
              </w:numPr>
              <w:ind w:left="313" w:hanging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62" w:type="dxa"/>
            <w:textDirection w:val="lrTb"/>
            <w:noWrap w:val="false"/>
          </w:tcPr>
          <w:p>
            <w:pPr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Исполняющий обязанности директора филиала </w:t>
            </w:r>
            <w:r>
              <w:rPr>
                <w:sz w:val="28"/>
                <w:szCs w:val="28"/>
                <w:lang w:eastAsia="en-US"/>
              </w:rPr>
              <w:br/>
              <w:t xml:space="preserve">ПАО «Россети Северный Кавказ» - «Дагэнерго»</w:t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ind w:hanging="2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Гаджиев А.Р.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80"/>
        </w:trPr>
        <w:tc>
          <w:tcPr>
            <w:tcW w:w="382" w:type="dxa"/>
            <w:textDirection w:val="lrTb"/>
            <w:noWrap w:val="false"/>
          </w:tcPr>
          <w:p>
            <w:pPr>
              <w:pStyle w:val="976"/>
              <w:numPr>
                <w:ilvl w:val="0"/>
                <w:numId w:val="1"/>
              </w:numPr>
              <w:ind w:left="313" w:hanging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62" w:type="dxa"/>
            <w:textDirection w:val="lrTb"/>
            <w:noWrap w:val="false"/>
          </w:tcPr>
          <w:p>
            <w:pPr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 филиала ПАО «Россети Северный Кавказ» </w:t>
            </w:r>
            <w:r>
              <w:rPr>
                <w:sz w:val="28"/>
                <w:szCs w:val="28"/>
                <w:lang w:eastAsia="en-US"/>
              </w:rPr>
              <w:br/>
              <w:t xml:space="preserve">- «Карачаево-Черкесскэнерго»</w:t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ind w:hanging="2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Лысенко А.П.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9"/>
        </w:trPr>
        <w:tc>
          <w:tcPr>
            <w:tcW w:w="382" w:type="dxa"/>
            <w:textDirection w:val="lrTb"/>
            <w:noWrap w:val="false"/>
          </w:tcPr>
          <w:p>
            <w:pPr>
              <w:pStyle w:val="976"/>
              <w:numPr>
                <w:ilvl w:val="0"/>
                <w:numId w:val="1"/>
              </w:numPr>
              <w:ind w:left="313" w:hanging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62" w:type="dxa"/>
            <w:textDirection w:val="lrTb"/>
            <w:noWrap w:val="false"/>
          </w:tcPr>
          <w:p>
            <w:pPr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Исполняющий обязанности директора филиала </w:t>
            </w:r>
            <w:r>
              <w:rPr>
                <w:sz w:val="28"/>
                <w:szCs w:val="28"/>
                <w:lang w:eastAsia="en-US"/>
              </w:rPr>
              <w:br/>
              <w:t xml:space="preserve">ПАО «Россети Северный Кавказ» - «Севкавказэнерго»</w:t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ind w:hanging="2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Таболов А.Т.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50"/>
        </w:trPr>
        <w:tc>
          <w:tcPr>
            <w:tcW w:w="382" w:type="dxa"/>
            <w:textDirection w:val="lrTb"/>
            <w:noWrap w:val="false"/>
          </w:tcPr>
          <w:p>
            <w:pPr>
              <w:pStyle w:val="976"/>
              <w:numPr>
                <w:ilvl w:val="0"/>
                <w:numId w:val="1"/>
              </w:numPr>
              <w:ind w:left="313" w:hanging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62" w:type="dxa"/>
            <w:textDirection w:val="lrTb"/>
            <w:noWrap w:val="false"/>
          </w:tcPr>
          <w:p>
            <w:pPr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 филиала ПАО «Россети </w:t>
            </w:r>
            <w:r>
              <w:rPr>
                <w:sz w:val="28"/>
                <w:szCs w:val="28"/>
                <w:lang w:eastAsia="en-US"/>
              </w:rPr>
              <w:t xml:space="preserve">Северный Кавказ»  «Каббалкэнерго»</w:t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ind w:hanging="2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Загаштоков Р.А.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50"/>
        </w:trPr>
        <w:tc>
          <w:tcPr>
            <w:tcW w:w="382" w:type="dxa"/>
            <w:textDirection w:val="lrTb"/>
            <w:noWrap w:val="false"/>
          </w:tcPr>
          <w:p>
            <w:pPr>
              <w:pStyle w:val="976"/>
              <w:numPr>
                <w:ilvl w:val="0"/>
                <w:numId w:val="1"/>
              </w:numPr>
              <w:ind w:left="313" w:hanging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162" w:type="dxa"/>
            <w:textDirection w:val="lrTb"/>
            <w:noWrap w:val="false"/>
          </w:tcPr>
          <w:p>
            <w:pPr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  <w:t xml:space="preserve">Управляющий директор АО «Чеченэнерго»</w:t>
            </w:r>
            <w:r>
              <w:rPr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ind w:hanging="2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  <w:t xml:space="preserve">Кадиров</w:t>
            </w:r>
            <w:r>
              <w:rPr>
                <w:sz w:val="28"/>
                <w:szCs w:val="28"/>
              </w:rPr>
              <w:t xml:space="preserve"> И.С.</w:t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</w:pPr>
      <w:r/>
      <w:r/>
    </w:p>
    <w:sectPr>
      <w:footnotePr/>
      <w:endnotePr/>
      <w:type w:val="nextPage"/>
      <w:pgSz w:w="11906" w:h="16838" w:orient="portrait"/>
      <w:pgMar w:top="1134" w:right="709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79351083"/>
      <w:docPartObj>
        <w:docPartGallery w:val="Page Numbers (Top of Page)"/>
        <w:docPartUnique w:val="true"/>
      </w:docPartObj>
      <w:rPr/>
    </w:sdtPr>
    <w:sdtContent>
      <w:p>
        <w:pPr>
          <w:pStyle w:val="98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8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51695720"/>
      <w:docPartObj>
        <w:docPartGallery w:val="Page Numbers (Top of Page)"/>
        <w:docPartUnique w:val="true"/>
      </w:docPartObj>
      <w:rPr/>
    </w:sdtPr>
    <w:sdtContent>
      <w:p>
        <w:pPr>
          <w:pStyle w:val="989"/>
          <w:jc w:val="center"/>
        </w:pPr>
        <w:r/>
        <w:r/>
      </w:p>
    </w:sdtContent>
  </w:sdt>
  <w:p>
    <w:pPr>
      <w:pStyle w:val="744"/>
      <w:jc w:val="center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  <w:tabs>
        <w:tab w:val="left" w:pos="4140" w:leader="none"/>
        <w:tab w:val="clear" w:pos="7143" w:leader="none"/>
        <w:tab w:val="clear" w:pos="14287" w:leader="none"/>
      </w:tabs>
    </w:pPr>
    <w:r>
      <w:t xml:space="preserve">                                                                             10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9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upperRoman"/>
      <w:pStyle w:val="986"/>
      <w:isLgl w:val="false"/>
      <w:suff w:val="tab"/>
      <w:lvlText w:val="%1."/>
      <w:lvlJc w:val="left"/>
      <w:pPr>
        <w:ind w:left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28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00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72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44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16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88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60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32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2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3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0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77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49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2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9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6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>
    <w:multiLevelType w:val="hybridMultilevel"/>
    <w:lvl w:ilvl="0">
      <w:start w:val="4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08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80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2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4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6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8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40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2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21"/>
    <w:next w:val="721"/>
    <w:link w:val="7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721"/>
    <w:next w:val="721"/>
    <w:link w:val="7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7">
    <w:name w:val="Heading 3"/>
    <w:basedOn w:val="721"/>
    <w:next w:val="721"/>
    <w:link w:val="7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721"/>
    <w:next w:val="721"/>
    <w:link w:val="7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1"/>
    <w:next w:val="721"/>
    <w:link w:val="7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1"/>
    <w:next w:val="721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1"/>
    <w:next w:val="721"/>
    <w:link w:val="7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1"/>
    <w:next w:val="721"/>
    <w:link w:val="7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1"/>
    <w:next w:val="721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42">
    <w:name w:val="Header"/>
    <w:basedOn w:val="721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4">
    <w:name w:val="Footer"/>
    <w:basedOn w:val="721"/>
    <w:link w:val="7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6">
    <w:name w:val="Caption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2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paragraph" w:styleId="725" w:customStyle="1">
    <w:name w:val="Заголовок 11"/>
    <w:basedOn w:val="721"/>
    <w:next w:val="72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6" w:customStyle="1">
    <w:name w:val="Заголовок 21"/>
    <w:basedOn w:val="721"/>
    <w:next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7" w:customStyle="1">
    <w:name w:val="Заголовок 31"/>
    <w:basedOn w:val="721"/>
    <w:next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8" w:customStyle="1">
    <w:name w:val="Заголовок 41"/>
    <w:basedOn w:val="721"/>
    <w:next w:val="7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9" w:customStyle="1">
    <w:name w:val="Заголовок 51"/>
    <w:basedOn w:val="721"/>
    <w:next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0" w:customStyle="1">
    <w:name w:val="Заголовок 61"/>
    <w:basedOn w:val="721"/>
    <w:next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1" w:customStyle="1">
    <w:name w:val="Заголовок 71"/>
    <w:basedOn w:val="721"/>
    <w:next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2" w:customStyle="1">
    <w:name w:val="Заголовок 81"/>
    <w:basedOn w:val="721"/>
    <w:next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3" w:customStyle="1">
    <w:name w:val="Заголовок 91"/>
    <w:basedOn w:val="721"/>
    <w:next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34" w:customStyle="1">
    <w:name w:val="Название объекта1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35" w:customStyle="1">
    <w:name w:val="Заголовок 11_0"/>
    <w:basedOn w:val="721"/>
    <w:next w:val="72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6" w:customStyle="1">
    <w:name w:val="Заголовок 21_0"/>
    <w:basedOn w:val="721"/>
    <w:next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7" w:customStyle="1">
    <w:name w:val="Заголовок 31_0"/>
    <w:basedOn w:val="721"/>
    <w:next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8" w:customStyle="1">
    <w:name w:val="Заголовок 41_0"/>
    <w:basedOn w:val="721"/>
    <w:next w:val="7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9" w:customStyle="1">
    <w:name w:val="Заголовок 51_0"/>
    <w:basedOn w:val="721"/>
    <w:next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0" w:customStyle="1">
    <w:name w:val="Заголовок 61_0"/>
    <w:basedOn w:val="721"/>
    <w:next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1" w:customStyle="1">
    <w:name w:val="Заголовок 71_0"/>
    <w:basedOn w:val="721"/>
    <w:next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2" w:customStyle="1">
    <w:name w:val="Заголовок 81_0"/>
    <w:basedOn w:val="721"/>
    <w:next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3" w:customStyle="1">
    <w:name w:val="Заголовок 91_0"/>
    <w:basedOn w:val="721"/>
    <w:next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44" w:customStyle="1">
    <w:name w:val="Верхний колонтитул1"/>
    <w:basedOn w:val="721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45" w:customStyle="1">
    <w:name w:val="Нижний колонтитул1"/>
    <w:basedOn w:val="721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46" w:customStyle="1">
    <w:name w:val="Название объекта1_0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47" w:customStyle="1">
    <w:name w:val="Заголовок 11_0_0"/>
    <w:basedOn w:val="721"/>
    <w:next w:val="721"/>
    <w:link w:val="7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8" w:customStyle="1">
    <w:name w:val="Заголовок 21_0_0"/>
    <w:basedOn w:val="721"/>
    <w:next w:val="721"/>
    <w:link w:val="7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9" w:customStyle="1">
    <w:name w:val="Заголовок 31_0_0"/>
    <w:basedOn w:val="721"/>
    <w:next w:val="721"/>
    <w:link w:val="7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0" w:customStyle="1">
    <w:name w:val="Заголовок 41_0_0"/>
    <w:basedOn w:val="721"/>
    <w:next w:val="721"/>
    <w:link w:val="7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1" w:customStyle="1">
    <w:name w:val="Заголовок 51_0_0"/>
    <w:basedOn w:val="721"/>
    <w:next w:val="721"/>
    <w:link w:val="7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52" w:customStyle="1">
    <w:name w:val="Заголовок 61_0_0"/>
    <w:basedOn w:val="721"/>
    <w:next w:val="721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3" w:customStyle="1">
    <w:name w:val="Заголовок 71_0_0"/>
    <w:basedOn w:val="721"/>
    <w:next w:val="721"/>
    <w:link w:val="7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4" w:customStyle="1">
    <w:name w:val="Заголовок 81_0_0"/>
    <w:basedOn w:val="721"/>
    <w:next w:val="721"/>
    <w:link w:val="7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5" w:customStyle="1">
    <w:name w:val="Заголовок 91_0_0"/>
    <w:basedOn w:val="721"/>
    <w:next w:val="721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56" w:customStyle="1">
    <w:name w:val="Верхний колонтитул1_0"/>
    <w:basedOn w:val="721"/>
    <w:link w:val="777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57" w:customStyle="1">
    <w:name w:val="Нижний колонтитул1_0"/>
    <w:basedOn w:val="721"/>
    <w:link w:val="778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58" w:customStyle="1">
    <w:name w:val="Название объекта1_0_0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59" w:customStyle="1">
    <w:name w:val="Заголовок 11_0_0_0"/>
    <w:basedOn w:val="721"/>
    <w:next w:val="721"/>
    <w:link w:val="7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60" w:customStyle="1">
    <w:name w:val="Заголовок 21_0_0_0"/>
    <w:basedOn w:val="721"/>
    <w:next w:val="721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61" w:customStyle="1">
    <w:name w:val="Заголовок 31_0_0_0"/>
    <w:basedOn w:val="721"/>
    <w:next w:val="721"/>
    <w:link w:val="7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2" w:customStyle="1">
    <w:name w:val="Заголовок 41_0_0_0"/>
    <w:basedOn w:val="721"/>
    <w:next w:val="72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3" w:customStyle="1">
    <w:name w:val="Заголовок 51_0_0_0"/>
    <w:basedOn w:val="721"/>
    <w:next w:val="721"/>
    <w:link w:val="7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64" w:customStyle="1">
    <w:name w:val="Заголовок 61_0_0_0"/>
    <w:basedOn w:val="721"/>
    <w:next w:val="721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5" w:customStyle="1">
    <w:name w:val="Заголовок 71_0_0_0"/>
    <w:basedOn w:val="721"/>
    <w:next w:val="721"/>
    <w:link w:val="7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6" w:customStyle="1">
    <w:name w:val="Заголовок 81_0_0_0"/>
    <w:basedOn w:val="721"/>
    <w:next w:val="721"/>
    <w:link w:val="7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7" w:customStyle="1">
    <w:name w:val="Заголовок 91_0_0_0"/>
    <w:basedOn w:val="721"/>
    <w:next w:val="721"/>
    <w:link w:val="7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8" w:customStyle="1">
    <w:name w:val="Heading 1 Char"/>
    <w:basedOn w:val="722"/>
    <w:link w:val="747"/>
    <w:uiPriority w:val="9"/>
    <w:rPr>
      <w:rFonts w:ascii="Arial" w:hAnsi="Arial" w:eastAsia="Arial" w:cs="Arial"/>
      <w:sz w:val="40"/>
      <w:szCs w:val="40"/>
    </w:rPr>
  </w:style>
  <w:style w:type="character" w:styleId="769" w:customStyle="1">
    <w:name w:val="Heading 2 Char"/>
    <w:basedOn w:val="722"/>
    <w:link w:val="748"/>
    <w:uiPriority w:val="9"/>
    <w:rPr>
      <w:rFonts w:ascii="Arial" w:hAnsi="Arial" w:eastAsia="Arial" w:cs="Arial"/>
      <w:sz w:val="34"/>
    </w:rPr>
  </w:style>
  <w:style w:type="character" w:styleId="770" w:customStyle="1">
    <w:name w:val="Heading 3 Char"/>
    <w:basedOn w:val="722"/>
    <w:link w:val="749"/>
    <w:uiPriority w:val="9"/>
    <w:rPr>
      <w:rFonts w:ascii="Arial" w:hAnsi="Arial" w:eastAsia="Arial" w:cs="Arial"/>
      <w:sz w:val="30"/>
      <w:szCs w:val="30"/>
    </w:rPr>
  </w:style>
  <w:style w:type="character" w:styleId="771" w:customStyle="1">
    <w:name w:val="Heading 4 Char"/>
    <w:basedOn w:val="722"/>
    <w:link w:val="750"/>
    <w:uiPriority w:val="9"/>
    <w:rPr>
      <w:rFonts w:ascii="Arial" w:hAnsi="Arial" w:eastAsia="Arial" w:cs="Arial"/>
      <w:b/>
      <w:bCs/>
      <w:sz w:val="26"/>
      <w:szCs w:val="26"/>
    </w:rPr>
  </w:style>
  <w:style w:type="character" w:styleId="772" w:customStyle="1">
    <w:name w:val="Heading 5 Char"/>
    <w:basedOn w:val="722"/>
    <w:link w:val="751"/>
    <w:uiPriority w:val="9"/>
    <w:rPr>
      <w:rFonts w:ascii="Arial" w:hAnsi="Arial" w:eastAsia="Arial" w:cs="Arial"/>
      <w:b/>
      <w:bCs/>
      <w:sz w:val="24"/>
      <w:szCs w:val="24"/>
    </w:rPr>
  </w:style>
  <w:style w:type="character" w:styleId="773" w:customStyle="1">
    <w:name w:val="Heading 6 Char"/>
    <w:basedOn w:val="722"/>
    <w:link w:val="752"/>
    <w:uiPriority w:val="9"/>
    <w:rPr>
      <w:rFonts w:ascii="Arial" w:hAnsi="Arial" w:eastAsia="Arial" w:cs="Arial"/>
      <w:b/>
      <w:bCs/>
      <w:sz w:val="22"/>
      <w:szCs w:val="22"/>
    </w:rPr>
  </w:style>
  <w:style w:type="character" w:styleId="774" w:customStyle="1">
    <w:name w:val="Heading 7 Char"/>
    <w:basedOn w:val="722"/>
    <w:link w:val="75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 w:customStyle="1">
    <w:name w:val="Heading 8 Char"/>
    <w:basedOn w:val="722"/>
    <w:link w:val="754"/>
    <w:uiPriority w:val="9"/>
    <w:rPr>
      <w:rFonts w:ascii="Arial" w:hAnsi="Arial" w:eastAsia="Arial" w:cs="Arial"/>
      <w:i/>
      <w:iCs/>
      <w:sz w:val="22"/>
      <w:szCs w:val="22"/>
    </w:rPr>
  </w:style>
  <w:style w:type="character" w:styleId="776" w:customStyle="1">
    <w:name w:val="Heading 9 Char"/>
    <w:basedOn w:val="722"/>
    <w:link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77" w:customStyle="1">
    <w:name w:val="Header Char"/>
    <w:basedOn w:val="722"/>
    <w:link w:val="756"/>
    <w:uiPriority w:val="99"/>
  </w:style>
  <w:style w:type="character" w:styleId="778" w:customStyle="1">
    <w:name w:val="Caption Char"/>
    <w:link w:val="757"/>
    <w:uiPriority w:val="99"/>
  </w:style>
  <w:style w:type="paragraph" w:styleId="779" w:customStyle="1">
    <w:name w:val="Верхний колонтитул1_0_0"/>
    <w:basedOn w:val="721"/>
    <w:link w:val="795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80" w:customStyle="1">
    <w:name w:val="Нижний колонтитул1_0_0"/>
    <w:basedOn w:val="721"/>
    <w:link w:val="796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81" w:customStyle="1">
    <w:name w:val="Название объекта1_0_0_0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82" w:customStyle="1">
    <w:name w:val="Заголовок 1 Знак1"/>
    <w:basedOn w:val="722"/>
    <w:link w:val="759"/>
    <w:uiPriority w:val="9"/>
    <w:rPr>
      <w:rFonts w:ascii="Arial" w:hAnsi="Arial" w:eastAsia="Arial" w:cs="Arial"/>
      <w:sz w:val="40"/>
      <w:szCs w:val="40"/>
    </w:rPr>
  </w:style>
  <w:style w:type="character" w:styleId="783" w:customStyle="1">
    <w:name w:val="Заголовок 2 Знак1"/>
    <w:basedOn w:val="722"/>
    <w:link w:val="760"/>
    <w:uiPriority w:val="9"/>
    <w:rPr>
      <w:rFonts w:ascii="Arial" w:hAnsi="Arial" w:eastAsia="Arial" w:cs="Arial"/>
      <w:sz w:val="34"/>
    </w:rPr>
  </w:style>
  <w:style w:type="character" w:styleId="784" w:customStyle="1">
    <w:name w:val="Заголовок 3 Знак1"/>
    <w:basedOn w:val="722"/>
    <w:link w:val="761"/>
    <w:uiPriority w:val="9"/>
    <w:rPr>
      <w:rFonts w:ascii="Arial" w:hAnsi="Arial" w:eastAsia="Arial" w:cs="Arial"/>
      <w:sz w:val="30"/>
      <w:szCs w:val="30"/>
    </w:rPr>
  </w:style>
  <w:style w:type="character" w:styleId="785" w:customStyle="1">
    <w:name w:val="Заголовок 4 Знак1"/>
    <w:basedOn w:val="722"/>
    <w:link w:val="762"/>
    <w:uiPriority w:val="9"/>
    <w:rPr>
      <w:rFonts w:ascii="Arial" w:hAnsi="Arial" w:eastAsia="Arial" w:cs="Arial"/>
      <w:b/>
      <w:bCs/>
      <w:sz w:val="26"/>
      <w:szCs w:val="26"/>
    </w:rPr>
  </w:style>
  <w:style w:type="character" w:styleId="786" w:customStyle="1">
    <w:name w:val="Заголовок 5 Знак1"/>
    <w:basedOn w:val="722"/>
    <w:link w:val="763"/>
    <w:uiPriority w:val="9"/>
    <w:rPr>
      <w:rFonts w:ascii="Arial" w:hAnsi="Arial" w:eastAsia="Arial" w:cs="Arial"/>
      <w:b/>
      <w:bCs/>
      <w:sz w:val="24"/>
      <w:szCs w:val="24"/>
    </w:rPr>
  </w:style>
  <w:style w:type="character" w:styleId="787" w:customStyle="1">
    <w:name w:val="Заголовок 6 Знак1"/>
    <w:basedOn w:val="722"/>
    <w:link w:val="764"/>
    <w:uiPriority w:val="9"/>
    <w:rPr>
      <w:rFonts w:ascii="Arial" w:hAnsi="Arial" w:eastAsia="Arial" w:cs="Arial"/>
      <w:b/>
      <w:bCs/>
      <w:sz w:val="22"/>
      <w:szCs w:val="22"/>
    </w:rPr>
  </w:style>
  <w:style w:type="character" w:styleId="788" w:customStyle="1">
    <w:name w:val="Заголовок 7 Знак1"/>
    <w:basedOn w:val="722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9" w:customStyle="1">
    <w:name w:val="Заголовок 8 Знак1"/>
    <w:basedOn w:val="722"/>
    <w:link w:val="766"/>
    <w:uiPriority w:val="9"/>
    <w:rPr>
      <w:rFonts w:ascii="Arial" w:hAnsi="Arial" w:eastAsia="Arial" w:cs="Arial"/>
      <w:i/>
      <w:iCs/>
      <w:sz w:val="22"/>
      <w:szCs w:val="22"/>
    </w:rPr>
  </w:style>
  <w:style w:type="character" w:styleId="790" w:customStyle="1">
    <w:name w:val="Заголовок 9 Знак1"/>
    <w:basedOn w:val="722"/>
    <w:link w:val="767"/>
    <w:uiPriority w:val="9"/>
    <w:rPr>
      <w:rFonts w:ascii="Arial" w:hAnsi="Arial" w:eastAsia="Arial" w:cs="Arial"/>
      <w:i/>
      <w:iCs/>
      <w:sz w:val="21"/>
      <w:szCs w:val="21"/>
    </w:rPr>
  </w:style>
  <w:style w:type="character" w:styleId="791" w:customStyle="1">
    <w:name w:val="Title Char"/>
    <w:basedOn w:val="722"/>
    <w:uiPriority w:val="10"/>
    <w:rPr>
      <w:sz w:val="48"/>
      <w:szCs w:val="48"/>
    </w:rPr>
  </w:style>
  <w:style w:type="character" w:styleId="792" w:customStyle="1">
    <w:name w:val="Subtitle Char"/>
    <w:basedOn w:val="722"/>
    <w:uiPriority w:val="11"/>
    <w:rPr>
      <w:sz w:val="24"/>
      <w:szCs w:val="24"/>
    </w:rPr>
  </w:style>
  <w:style w:type="character" w:styleId="793" w:customStyle="1">
    <w:name w:val="Quote Char"/>
    <w:uiPriority w:val="29"/>
    <w:rPr>
      <w:i/>
    </w:rPr>
  </w:style>
  <w:style w:type="character" w:styleId="794" w:customStyle="1">
    <w:name w:val="Intense Quote Char"/>
    <w:uiPriority w:val="30"/>
    <w:rPr>
      <w:i/>
    </w:rPr>
  </w:style>
  <w:style w:type="character" w:styleId="795" w:customStyle="1">
    <w:name w:val="Верхний колонтитул Знак1"/>
    <w:basedOn w:val="722"/>
    <w:link w:val="779"/>
    <w:uiPriority w:val="99"/>
  </w:style>
  <w:style w:type="character" w:styleId="796" w:customStyle="1">
    <w:name w:val="Нижний колонтитул Знак1"/>
    <w:link w:val="780"/>
    <w:uiPriority w:val="99"/>
  </w:style>
  <w:style w:type="character" w:styleId="797" w:customStyle="1">
    <w:name w:val="Footnote Text Char"/>
    <w:uiPriority w:val="99"/>
    <w:rPr>
      <w:sz w:val="18"/>
    </w:rPr>
  </w:style>
  <w:style w:type="character" w:styleId="798" w:customStyle="1">
    <w:name w:val="Endnote Text Char"/>
    <w:uiPriority w:val="99"/>
    <w:rPr>
      <w:sz w:val="20"/>
    </w:rPr>
  </w:style>
  <w:style w:type="paragraph" w:styleId="799" w:customStyle="1">
    <w:name w:val="Заголовок 11_0_0_0_0"/>
    <w:basedOn w:val="721"/>
    <w:next w:val="721"/>
    <w:link w:val="8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00" w:customStyle="1">
    <w:name w:val="Заголовок 21_0_0_0_0"/>
    <w:basedOn w:val="721"/>
    <w:next w:val="721"/>
    <w:link w:val="8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1" w:customStyle="1">
    <w:name w:val="Заголовок 31_0_0_0_0"/>
    <w:basedOn w:val="721"/>
    <w:next w:val="721"/>
    <w:link w:val="8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2" w:customStyle="1">
    <w:name w:val="Заголовок 41_0_0_0_0"/>
    <w:basedOn w:val="721"/>
    <w:next w:val="721"/>
    <w:link w:val="8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3" w:customStyle="1">
    <w:name w:val="Заголовок 51_0_0_0_0"/>
    <w:basedOn w:val="721"/>
    <w:next w:val="721"/>
    <w:link w:val="8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804" w:customStyle="1">
    <w:name w:val="Заголовок 61_0_0_0_0"/>
    <w:basedOn w:val="721"/>
    <w:next w:val="721"/>
    <w:link w:val="8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5" w:customStyle="1">
    <w:name w:val="Заголовок 71_0_0_0_0"/>
    <w:basedOn w:val="721"/>
    <w:next w:val="721"/>
    <w:link w:val="8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6" w:customStyle="1">
    <w:name w:val="Заголовок 81_0_0_0_0"/>
    <w:basedOn w:val="721"/>
    <w:next w:val="721"/>
    <w:link w:val="8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7" w:customStyle="1">
    <w:name w:val="Заголовок 91_0_0_0_0"/>
    <w:basedOn w:val="721"/>
    <w:next w:val="721"/>
    <w:link w:val="8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8" w:customStyle="1">
    <w:name w:val="Заголовок 1 Знак"/>
    <w:basedOn w:val="722"/>
    <w:link w:val="799"/>
    <w:uiPriority w:val="9"/>
    <w:rPr>
      <w:rFonts w:ascii="Arial" w:hAnsi="Arial" w:eastAsia="Arial" w:cs="Arial"/>
      <w:sz w:val="40"/>
      <w:szCs w:val="40"/>
    </w:rPr>
  </w:style>
  <w:style w:type="character" w:styleId="809" w:customStyle="1">
    <w:name w:val="Заголовок 2 Знак"/>
    <w:basedOn w:val="722"/>
    <w:link w:val="800"/>
    <w:uiPriority w:val="9"/>
    <w:rPr>
      <w:rFonts w:ascii="Arial" w:hAnsi="Arial" w:eastAsia="Arial" w:cs="Arial"/>
      <w:sz w:val="34"/>
    </w:rPr>
  </w:style>
  <w:style w:type="character" w:styleId="810" w:customStyle="1">
    <w:name w:val="Заголовок 3 Знак"/>
    <w:basedOn w:val="722"/>
    <w:link w:val="801"/>
    <w:uiPriority w:val="9"/>
    <w:rPr>
      <w:rFonts w:ascii="Arial" w:hAnsi="Arial" w:eastAsia="Arial" w:cs="Arial"/>
      <w:sz w:val="30"/>
      <w:szCs w:val="30"/>
    </w:rPr>
  </w:style>
  <w:style w:type="character" w:styleId="811" w:customStyle="1">
    <w:name w:val="Заголовок 4 Знак"/>
    <w:basedOn w:val="722"/>
    <w:link w:val="802"/>
    <w:uiPriority w:val="9"/>
    <w:rPr>
      <w:rFonts w:ascii="Arial" w:hAnsi="Arial" w:eastAsia="Arial" w:cs="Arial"/>
      <w:b/>
      <w:bCs/>
      <w:sz w:val="26"/>
      <w:szCs w:val="26"/>
    </w:rPr>
  </w:style>
  <w:style w:type="character" w:styleId="812" w:customStyle="1">
    <w:name w:val="Заголовок 5 Знак"/>
    <w:basedOn w:val="722"/>
    <w:link w:val="803"/>
    <w:uiPriority w:val="9"/>
    <w:rPr>
      <w:rFonts w:ascii="Arial" w:hAnsi="Arial" w:eastAsia="Arial" w:cs="Arial"/>
      <w:b/>
      <w:bCs/>
      <w:sz w:val="24"/>
      <w:szCs w:val="24"/>
    </w:rPr>
  </w:style>
  <w:style w:type="character" w:styleId="813" w:customStyle="1">
    <w:name w:val="Заголовок 6 Знак"/>
    <w:basedOn w:val="722"/>
    <w:link w:val="804"/>
    <w:uiPriority w:val="9"/>
    <w:rPr>
      <w:rFonts w:ascii="Arial" w:hAnsi="Arial" w:eastAsia="Arial" w:cs="Arial"/>
      <w:b/>
      <w:bCs/>
      <w:sz w:val="22"/>
      <w:szCs w:val="22"/>
    </w:rPr>
  </w:style>
  <w:style w:type="character" w:styleId="814" w:customStyle="1">
    <w:name w:val="Заголовок 7 Знак"/>
    <w:basedOn w:val="722"/>
    <w:link w:val="8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5" w:customStyle="1">
    <w:name w:val="Заголовок 8 Знак"/>
    <w:basedOn w:val="722"/>
    <w:link w:val="806"/>
    <w:uiPriority w:val="9"/>
    <w:rPr>
      <w:rFonts w:ascii="Arial" w:hAnsi="Arial" w:eastAsia="Arial" w:cs="Arial"/>
      <w:i/>
      <w:iCs/>
      <w:sz w:val="22"/>
      <w:szCs w:val="22"/>
    </w:rPr>
  </w:style>
  <w:style w:type="character" w:styleId="816" w:customStyle="1">
    <w:name w:val="Заголовок 9 Знак"/>
    <w:basedOn w:val="722"/>
    <w:link w:val="807"/>
    <w:uiPriority w:val="9"/>
    <w:rPr>
      <w:rFonts w:ascii="Arial" w:hAnsi="Arial" w:eastAsia="Arial" w:cs="Arial"/>
      <w:i/>
      <w:iCs/>
      <w:sz w:val="21"/>
      <w:szCs w:val="21"/>
    </w:rPr>
  </w:style>
  <w:style w:type="paragraph" w:styleId="817">
    <w:name w:val="No Spacing"/>
    <w:uiPriority w:val="1"/>
    <w:qFormat/>
    <w:pPr>
      <w:spacing w:after="0" w:line="240" w:lineRule="auto"/>
    </w:pPr>
  </w:style>
  <w:style w:type="paragraph" w:styleId="818">
    <w:name w:val="Title"/>
    <w:basedOn w:val="721"/>
    <w:next w:val="721"/>
    <w:link w:val="8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9" w:customStyle="1">
    <w:name w:val="Заголовок Знак"/>
    <w:basedOn w:val="722"/>
    <w:link w:val="818"/>
    <w:uiPriority w:val="10"/>
    <w:rPr>
      <w:sz w:val="48"/>
      <w:szCs w:val="48"/>
    </w:rPr>
  </w:style>
  <w:style w:type="paragraph" w:styleId="820">
    <w:name w:val="Subtitle"/>
    <w:basedOn w:val="721"/>
    <w:next w:val="721"/>
    <w:link w:val="821"/>
    <w:uiPriority w:val="11"/>
    <w:qFormat/>
    <w:pPr>
      <w:spacing w:before="200" w:after="200"/>
    </w:pPr>
  </w:style>
  <w:style w:type="character" w:styleId="821" w:customStyle="1">
    <w:name w:val="Подзаголовок Знак"/>
    <w:basedOn w:val="722"/>
    <w:link w:val="820"/>
    <w:uiPriority w:val="11"/>
    <w:rPr>
      <w:sz w:val="24"/>
      <w:szCs w:val="24"/>
    </w:rPr>
  </w:style>
  <w:style w:type="paragraph" w:styleId="822">
    <w:name w:val="Quote"/>
    <w:basedOn w:val="721"/>
    <w:next w:val="721"/>
    <w:link w:val="823"/>
    <w:uiPriority w:val="29"/>
    <w:qFormat/>
    <w:pPr>
      <w:ind w:left="720" w:right="720"/>
    </w:pPr>
    <w:rPr>
      <w:i/>
    </w:rPr>
  </w:style>
  <w:style w:type="character" w:styleId="823" w:customStyle="1">
    <w:name w:val="Цитата 2 Знак"/>
    <w:link w:val="822"/>
    <w:uiPriority w:val="29"/>
    <w:rPr>
      <w:i/>
    </w:rPr>
  </w:style>
  <w:style w:type="paragraph" w:styleId="824">
    <w:name w:val="Intense Quote"/>
    <w:basedOn w:val="721"/>
    <w:next w:val="721"/>
    <w:link w:val="8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5" w:customStyle="1">
    <w:name w:val="Выделенная цитата Знак"/>
    <w:link w:val="824"/>
    <w:uiPriority w:val="30"/>
    <w:rPr>
      <w:i/>
    </w:rPr>
  </w:style>
  <w:style w:type="paragraph" w:styleId="826" w:customStyle="1">
    <w:name w:val="Верхний колонтитул1_0_0_0"/>
    <w:basedOn w:val="721"/>
    <w:link w:val="82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27" w:customStyle="1">
    <w:name w:val="Верхний колонтитул Знак"/>
    <w:basedOn w:val="722"/>
    <w:link w:val="826"/>
    <w:uiPriority w:val="99"/>
  </w:style>
  <w:style w:type="paragraph" w:styleId="828" w:customStyle="1">
    <w:name w:val="Нижний колонтитул1_0_0_0"/>
    <w:basedOn w:val="721"/>
    <w:link w:val="83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29" w:customStyle="1">
    <w:name w:val="Footer Char"/>
    <w:basedOn w:val="722"/>
    <w:uiPriority w:val="99"/>
  </w:style>
  <w:style w:type="paragraph" w:styleId="830" w:customStyle="1">
    <w:name w:val="Название объекта1_0_0_0_0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31" w:customStyle="1">
    <w:name w:val="Нижний колонтитул Знак"/>
    <w:link w:val="828"/>
    <w:uiPriority w:val="99"/>
  </w:style>
  <w:style w:type="table" w:styleId="832" w:customStyle="1">
    <w:name w:val="Table Grid Light"/>
    <w:basedOn w:val="7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3">
    <w:name w:val="Plain Table 1"/>
    <w:basedOn w:val="7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4">
    <w:name w:val="Plain Table 2"/>
    <w:basedOn w:val="723"/>
    <w:uiPriority w:val="59"/>
    <w:pPr>
      <w:spacing w:after="0" w:line="240" w:lineRule="auto"/>
    </w:p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5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6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8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0" w:customStyle="1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61" w:customStyle="1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62" w:customStyle="1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63" w:customStyle="1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64" w:customStyle="1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5" w:customStyle="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6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71" w:customStyle="1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72" w:customStyle="1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73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4" w:customStyle="1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75" w:customStyle="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76" w:customStyle="1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7" w:customStyle="1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8" w:customStyle="1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9" w:customStyle="1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0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98" w:customStyle="1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9" w:customStyle="1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00" w:customStyle="1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01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0" w:customStyle="1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1" w:customStyle="1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3" w:customStyle="1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24" w:customStyle="1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25" w:customStyle="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26" w:customStyle="1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27" w:customStyle="1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28" w:customStyle="1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9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7" w:customStyle="1">
    <w:name w:val="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8" w:customStyle="1">
    <w:name w:val="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9" w:customStyle="1">
    <w:name w:val="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0" w:customStyle="1">
    <w:name w:val="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1" w:customStyle="1">
    <w:name w:val="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2" w:customStyle="1">
    <w:name w:val="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3" w:customStyle="1">
    <w:name w:val="Bordered &amp; 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4" w:customStyle="1">
    <w:name w:val="Bordered &amp; 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5" w:customStyle="1">
    <w:name w:val="Bordered &amp; 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6" w:customStyle="1">
    <w:name w:val="Bordered &amp; 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7" w:customStyle="1">
    <w:name w:val="Bordered &amp; 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8" w:customStyle="1">
    <w:name w:val="Bordered &amp; 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9" w:customStyle="1">
    <w:name w:val="Bordered &amp; 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0" w:customStyle="1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1" w:customStyle="1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52" w:customStyle="1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53" w:customStyle="1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54" w:customStyle="1">
    <w:name w:val="Bordered - Accent 4"/>
    <w:basedOn w:val="723"/>
    <w:link w:val="9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55" w:customStyle="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56" w:customStyle="1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57">
    <w:name w:val="Hyperlink"/>
    <w:uiPriority w:val="99"/>
    <w:unhideWhenUsed/>
    <w:rPr>
      <w:color w:val="0563c1" w:themeColor="hyperlink"/>
      <w:u w:val="single"/>
    </w:rPr>
  </w:style>
  <w:style w:type="paragraph" w:styleId="958">
    <w:name w:val="footnote text"/>
    <w:basedOn w:val="721"/>
    <w:link w:val="959"/>
    <w:uiPriority w:val="99"/>
    <w:semiHidden/>
    <w:unhideWhenUsed/>
    <w:pPr>
      <w:spacing w:after="40"/>
    </w:pPr>
    <w:rPr>
      <w:sz w:val="18"/>
    </w:rPr>
  </w:style>
  <w:style w:type="character" w:styleId="959" w:customStyle="1">
    <w:name w:val="Текст сноски Знак"/>
    <w:link w:val="958"/>
    <w:uiPriority w:val="99"/>
    <w:rPr>
      <w:sz w:val="18"/>
    </w:rPr>
  </w:style>
  <w:style w:type="character" w:styleId="960">
    <w:name w:val="footnote reference"/>
    <w:basedOn w:val="722"/>
    <w:uiPriority w:val="99"/>
    <w:unhideWhenUsed/>
    <w:rPr>
      <w:vertAlign w:val="superscript"/>
    </w:rPr>
  </w:style>
  <w:style w:type="paragraph" w:styleId="961">
    <w:name w:val="endnote text"/>
    <w:basedOn w:val="721"/>
    <w:link w:val="962"/>
    <w:uiPriority w:val="99"/>
    <w:semiHidden/>
    <w:unhideWhenUsed/>
    <w:rPr>
      <w:sz w:val="20"/>
    </w:rPr>
  </w:style>
  <w:style w:type="character" w:styleId="962" w:customStyle="1">
    <w:name w:val="Текст концевой сноски Знак"/>
    <w:link w:val="961"/>
    <w:uiPriority w:val="99"/>
    <w:rPr>
      <w:sz w:val="20"/>
    </w:rPr>
  </w:style>
  <w:style w:type="character" w:styleId="963">
    <w:name w:val="endnote reference"/>
    <w:basedOn w:val="722"/>
    <w:uiPriority w:val="99"/>
    <w:semiHidden/>
    <w:unhideWhenUsed/>
    <w:rPr>
      <w:vertAlign w:val="superscript"/>
    </w:rPr>
  </w:style>
  <w:style w:type="paragraph" w:styleId="964">
    <w:name w:val="toc 1"/>
    <w:basedOn w:val="721"/>
    <w:next w:val="721"/>
    <w:uiPriority w:val="39"/>
    <w:unhideWhenUsed/>
    <w:pPr>
      <w:spacing w:after="57"/>
    </w:pPr>
  </w:style>
  <w:style w:type="paragraph" w:styleId="965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966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967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968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969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970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971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972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973">
    <w:name w:val="TOC Heading"/>
    <w:uiPriority w:val="39"/>
    <w:unhideWhenUsed/>
  </w:style>
  <w:style w:type="paragraph" w:styleId="974">
    <w:name w:val="table of figures"/>
    <w:basedOn w:val="721"/>
    <w:next w:val="721"/>
    <w:uiPriority w:val="99"/>
    <w:unhideWhenUsed/>
  </w:style>
  <w:style w:type="table" w:styleId="975">
    <w:name w:val="Table Grid"/>
    <w:basedOn w:val="723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6">
    <w:name w:val="List Paragraph"/>
    <w:basedOn w:val="721"/>
    <w:link w:val="977"/>
    <w:uiPriority w:val="34"/>
    <w:qFormat/>
    <w:pPr>
      <w:contextualSpacing/>
      <w:ind w:left="720"/>
      <w:spacing w:after="160" w:line="259" w:lineRule="auto"/>
    </w:pPr>
    <w:rPr>
      <w:rFonts w:ascii="Calibri" w:hAnsi="Calibri" w:eastAsia="Calibri"/>
      <w:sz w:val="22"/>
      <w:szCs w:val="22"/>
      <w:lang w:eastAsia="en-US"/>
    </w:rPr>
  </w:style>
  <w:style w:type="character" w:styleId="977" w:customStyle="1">
    <w:name w:val="Абзац списка Знак"/>
    <w:basedOn w:val="722"/>
    <w:link w:val="976"/>
    <w:uiPriority w:val="34"/>
    <w:rPr>
      <w:rFonts w:ascii="Calibri" w:hAnsi="Calibri" w:eastAsia="Calibri" w:cs="Times New Roman"/>
    </w:rPr>
  </w:style>
  <w:style w:type="character" w:styleId="978">
    <w:name w:val="annotation reference"/>
    <w:basedOn w:val="722"/>
    <w:uiPriority w:val="99"/>
    <w:semiHidden/>
    <w:unhideWhenUsed/>
    <w:rPr>
      <w:sz w:val="16"/>
      <w:szCs w:val="16"/>
    </w:rPr>
  </w:style>
  <w:style w:type="paragraph" w:styleId="979">
    <w:name w:val="annotation text"/>
    <w:basedOn w:val="721"/>
    <w:link w:val="980"/>
    <w:uiPriority w:val="99"/>
    <w:semiHidden/>
    <w:unhideWhenUsed/>
    <w:rPr>
      <w:sz w:val="20"/>
      <w:szCs w:val="20"/>
    </w:rPr>
  </w:style>
  <w:style w:type="character" w:styleId="980" w:customStyle="1">
    <w:name w:val="Текст примечания Знак"/>
    <w:basedOn w:val="722"/>
    <w:link w:val="979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81">
    <w:name w:val="annotation subject"/>
    <w:basedOn w:val="979"/>
    <w:next w:val="979"/>
    <w:link w:val="982"/>
    <w:uiPriority w:val="99"/>
    <w:semiHidden/>
    <w:unhideWhenUsed/>
    <w:rPr>
      <w:b/>
      <w:bCs/>
    </w:rPr>
  </w:style>
  <w:style w:type="character" w:styleId="982" w:customStyle="1">
    <w:name w:val="Тема примечания Знак"/>
    <w:basedOn w:val="980"/>
    <w:link w:val="981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83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4">
    <w:name w:val="Balloon Text"/>
    <w:basedOn w:val="721"/>
    <w:link w:val="98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85" w:customStyle="1">
    <w:name w:val="Текст выноски Знак"/>
    <w:basedOn w:val="722"/>
    <w:link w:val="984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986" w:customStyle="1">
    <w:name w:val="Заголовок 12"/>
    <w:uiPriority w:val="9"/>
    <w:unhideWhenUsed/>
    <w:qFormat/>
    <w:pPr>
      <w:numPr>
        <w:ilvl w:val="0"/>
        <w:numId w:val="4"/>
      </w:numPr>
      <w:ind w:left="192" w:hanging="10"/>
      <w:keepLines/>
      <w:keepNext/>
      <w:spacing w:after="169"/>
      <w:outlineLvl w:val="0"/>
    </w:pPr>
    <w:rPr>
      <w:rFonts w:ascii="Times New Roman" w:hAnsi="Times New Roman" w:eastAsia="Times New Roman" w:cs="Times New Roman"/>
      <w:b/>
      <w:color w:val="000000"/>
      <w:sz w:val="32"/>
      <w:lang w:val="en-US"/>
    </w:rPr>
  </w:style>
  <w:style w:type="paragraph" w:styleId="987" w:customStyle="1">
    <w:name w:val="Оглавление 11"/>
    <w:link w:val="954"/>
    <w:hidden/>
    <w:uiPriority w:val="99"/>
    <w:pPr>
      <w:ind w:left="702" w:right="80" w:hanging="10"/>
      <w:jc w:val="both"/>
      <w:spacing w:after="90" w:line="308" w:lineRule="auto"/>
    </w:pPr>
    <w:rPr>
      <w:rFonts w:ascii="Times New Roman" w:hAnsi="Times New Roman" w:eastAsia="Times New Roman" w:cs="Times New Roman"/>
      <w:color w:val="000000"/>
      <w:sz w:val="24"/>
      <w:lang w:val="en-US"/>
    </w:rPr>
  </w:style>
  <w:style w:type="paragraph" w:styleId="988" w:customStyle="1">
    <w:name w:val="Default"/>
    <w:qFormat/>
    <w:pPr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ru-RU"/>
    </w:rPr>
  </w:style>
  <w:style w:type="paragraph" w:styleId="989" w:customStyle="1">
    <w:name w:val="Верхний колонтитул2"/>
    <w:basedOn w:val="721"/>
    <w:link w:val="9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0" w:customStyle="1">
    <w:name w:val="Верхний колонтитул Знак2"/>
    <w:basedOn w:val="722"/>
    <w:link w:val="98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1" w:customStyle="1">
    <w:name w:val="Нижний колонтитул2"/>
    <w:basedOn w:val="721"/>
    <w:link w:val="99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2" w:customStyle="1">
    <w:name w:val="Нижний колонтитул Знак2"/>
    <w:basedOn w:val="722"/>
    <w:link w:val="99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Бозиев Ахмат Тахирович</dc:creator>
  <cp:revision>11</cp:revision>
  <dcterms:created xsi:type="dcterms:W3CDTF">2024-11-20T11:55:00Z</dcterms:created>
  <dcterms:modified xsi:type="dcterms:W3CDTF">2024-11-26T10:52:01Z</dcterms:modified>
</cp:coreProperties>
</file>