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61" w:rsidRDefault="00192161" w:rsidP="00D95373">
      <w:pPr>
        <w:autoSpaceDE w:val="0"/>
        <w:autoSpaceDN w:val="0"/>
        <w:adjustRightInd w:val="0"/>
        <w:spacing w:after="0" w:line="240" w:lineRule="auto"/>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C7706A"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г. </w:t>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D95373">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ПАО «</w:t>
      </w:r>
      <w:proofErr w:type="spellStart"/>
      <w:r>
        <w:rPr>
          <w:rFonts w:ascii="Times New Roman" w:hAnsi="Times New Roman" w:cs="Times New Roman"/>
          <w:sz w:val="18"/>
          <w:szCs w:val="18"/>
        </w:rPr>
        <w:t>Россети</w:t>
      </w:r>
      <w:proofErr w:type="spellEnd"/>
      <w:r>
        <w:rPr>
          <w:rFonts w:ascii="Times New Roman" w:hAnsi="Times New Roman" w:cs="Times New Roman"/>
          <w:sz w:val="18"/>
          <w:szCs w:val="18"/>
        </w:rPr>
        <w:t xml:space="preserve"> Северный Кавказ», </w:t>
      </w:r>
      <w:proofErr w:type="gramStart"/>
      <w:r w:rsidR="0013475A" w:rsidRPr="00157DC1">
        <w:rPr>
          <w:rFonts w:ascii="Times New Roman" w:hAnsi="Times New Roman" w:cs="Times New Roman"/>
          <w:sz w:val="18"/>
          <w:szCs w:val="18"/>
        </w:rPr>
        <w:t>именуемое</w:t>
      </w:r>
      <w:proofErr w:type="gramEnd"/>
      <w:r w:rsidR="0013475A" w:rsidRPr="00157DC1">
        <w:rPr>
          <w:rFonts w:ascii="Times New Roman" w:hAnsi="Times New Roman" w:cs="Times New Roman"/>
          <w:sz w:val="18"/>
          <w:szCs w:val="18"/>
        </w:rPr>
        <w:t xml:space="preserve">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w:t>
      </w:r>
      <w:proofErr w:type="spellStart"/>
      <w:r w:rsidRPr="00157DC1">
        <w:rPr>
          <w:rFonts w:ascii="Times New Roman" w:hAnsi="Times New Roman" w:cs="Times New Roman"/>
          <w:sz w:val="18"/>
          <w:szCs w:val="18"/>
        </w:rPr>
        <w:t>ая</w:t>
      </w:r>
      <w:proofErr w:type="spellEnd"/>
      <w:r w:rsidRPr="00157DC1">
        <w:rPr>
          <w:rFonts w:ascii="Times New Roman" w:hAnsi="Times New Roman" w:cs="Times New Roman"/>
          <w:sz w:val="18"/>
          <w:szCs w:val="18"/>
        </w:rPr>
        <w:t>)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w:t>
      </w:r>
      <w:proofErr w:type="gramEnd"/>
      <w:r w:rsidRPr="00157DC1">
        <w:rPr>
          <w:rFonts w:ascii="Times New Roman" w:hAnsi="Times New Roman" w:cs="Times New Roman"/>
          <w:sz w:val="18"/>
          <w:szCs w:val="18"/>
        </w:rPr>
        <w:t xml:space="preserve">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w:t>
      </w:r>
      <w:proofErr w:type="spellStart"/>
      <w:r w:rsidRPr="00157DC1">
        <w:rPr>
          <w:rFonts w:ascii="Times New Roman" w:hAnsi="Times New Roman" w:cs="Times New Roman"/>
          <w:sz w:val="18"/>
          <w:szCs w:val="18"/>
        </w:rPr>
        <w:t>ях</w:t>
      </w:r>
      <w:proofErr w:type="spellEnd"/>
      <w:r w:rsidRPr="00157DC1">
        <w:rPr>
          <w:rFonts w:ascii="Times New Roman" w:hAnsi="Times New Roman" w:cs="Times New Roman"/>
          <w:sz w:val="18"/>
          <w:szCs w:val="18"/>
        </w:rPr>
        <w:t>),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1.2. «Гарантирующий поставщик» приступает к предоставлению коммунальной услуги по электроснабжению «Потребителю» с даты, определяемой согласно Правилам предоставления коммунальных услуг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указанной в документах, подтверждающих наличие технологического присоединения:_________________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2.1.2. Урегулировать в интересах «Потребителя» с сетевыми организациями, к сетям которых присоединены </w:t>
      </w:r>
      <w:proofErr w:type="spellStart"/>
      <w:r w:rsidRPr="00157DC1">
        <w:rPr>
          <w:rFonts w:ascii="Times New Roman" w:hAnsi="Times New Roman" w:cs="Times New Roman"/>
          <w:sz w:val="18"/>
          <w:szCs w:val="18"/>
        </w:rPr>
        <w:t>энергопринимающие</w:t>
      </w:r>
      <w:proofErr w:type="spellEnd"/>
      <w:r w:rsidRPr="00157DC1">
        <w:rPr>
          <w:rFonts w:ascii="Times New Roman" w:hAnsi="Times New Roman" w:cs="Times New Roman"/>
          <w:sz w:val="18"/>
          <w:szCs w:val="18"/>
        </w:rPr>
        <w:t xml:space="preserve">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w:t>
      </w:r>
      <w:proofErr w:type="gramEnd"/>
      <w:r w:rsidRPr="00157DC1">
        <w:rPr>
          <w:rFonts w:ascii="Times New Roman" w:hAnsi="Times New Roman" w:cs="Times New Roman"/>
          <w:sz w:val="18"/>
          <w:szCs w:val="18"/>
        </w:rPr>
        <w:t xml:space="preserve">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2.1.3. </w:t>
      </w:r>
      <w:proofErr w:type="gramStart"/>
      <w:r w:rsidRPr="00157DC1">
        <w:rPr>
          <w:rFonts w:ascii="Times New Roman" w:hAnsi="Times New Roman" w:cs="Times New Roman"/>
          <w:sz w:val="18"/>
          <w:szCs w:val="18"/>
        </w:rPr>
        <w:t>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w:t>
      </w:r>
      <w:proofErr w:type="gramEnd"/>
      <w:r w:rsidRPr="00157DC1">
        <w:rPr>
          <w:rFonts w:ascii="Times New Roman" w:hAnsi="Times New Roman" w:cs="Times New Roman"/>
          <w:sz w:val="18"/>
          <w:szCs w:val="18"/>
        </w:rPr>
        <w:t xml:space="preserve">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w:t>
      </w:r>
      <w:proofErr w:type="gramEnd"/>
      <w:r w:rsidRPr="00157DC1">
        <w:rPr>
          <w:rFonts w:ascii="Times New Roman" w:hAnsi="Times New Roman" w:cs="Times New Roman"/>
          <w:sz w:val="18"/>
          <w:szCs w:val="18"/>
        </w:rPr>
        <w:t>, фиксирующего вред, причиненный жизни, здоровью или имуществу «Потребителя».</w:t>
      </w:r>
    </w:p>
    <w:p w:rsidR="00FD622E"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2.1.</w:t>
      </w:r>
      <w:r w:rsidR="0021073D">
        <w:rPr>
          <w:rFonts w:ascii="Times New Roman" w:hAnsi="Times New Roman" w:cs="Times New Roman"/>
          <w:sz w:val="18"/>
          <w:szCs w:val="18"/>
        </w:rPr>
        <w:t>7</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непосредственно при обращении «Потребителя» проверку правильности исчисления предъявленного «Потребителю» к уплате размера платы за потребленную электрическую энергию,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 xml:space="preserve">задолженности или переплаты «Потребителя» за потребленную электрическую энергию,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8</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w:t>
      </w:r>
      <w:proofErr w:type="gramEnd"/>
      <w:r w:rsidRPr="00157DC1">
        <w:rPr>
          <w:rFonts w:ascii="Times New Roman" w:hAnsi="Times New Roman" w:cs="Times New Roman"/>
          <w:sz w:val="18"/>
          <w:szCs w:val="18"/>
        </w:rPr>
        <w:t>»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ненадлежащего качества и (или)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w:t>
      </w:r>
      <w:proofErr w:type="gramEnd"/>
      <w:r w:rsidRPr="00157DC1">
        <w:rPr>
          <w:rFonts w:ascii="Times New Roman" w:hAnsi="Times New Roman" w:cs="Times New Roman"/>
          <w:sz w:val="18"/>
          <w:szCs w:val="18"/>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платы</w:t>
      </w:r>
      <w:proofErr w:type="gramEnd"/>
      <w:r w:rsidRPr="00157DC1">
        <w:rPr>
          <w:rFonts w:ascii="Times New Roman" w:hAnsi="Times New Roman" w:cs="Times New Roman"/>
          <w:sz w:val="18"/>
          <w:szCs w:val="18"/>
        </w:rPr>
        <w:t xml:space="preserve">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электроснабжению «Потребителю».</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5</w:t>
      </w:r>
      <w:r w:rsidR="00853BA8" w:rsidRPr="00157DC1">
        <w:rPr>
          <w:rFonts w:ascii="Times New Roman" w:hAnsi="Times New Roman" w:cs="Times New Roman"/>
          <w:sz w:val="18"/>
          <w:szCs w:val="18"/>
        </w:rPr>
        <w:t xml:space="preserve">. «Гарантирующий поставщик» </w:t>
      </w:r>
      <w:proofErr w:type="gramStart"/>
      <w:r w:rsidR="00853BA8" w:rsidRPr="00157DC1">
        <w:rPr>
          <w:rFonts w:ascii="Times New Roman" w:hAnsi="Times New Roman" w:cs="Times New Roman"/>
          <w:sz w:val="18"/>
          <w:szCs w:val="18"/>
        </w:rPr>
        <w:t>несет иные обязанности</w:t>
      </w:r>
      <w:proofErr w:type="gramEnd"/>
      <w:r w:rsidR="00853BA8"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 xml:space="preserve">Срок восстановления энергоснабжения </w:t>
      </w:r>
      <w:proofErr w:type="spellStart"/>
      <w:r w:rsidRPr="00157DC1">
        <w:rPr>
          <w:rFonts w:ascii="Times New Roman" w:hAnsi="Times New Roman" w:cs="Times New Roman"/>
          <w:sz w:val="18"/>
          <w:szCs w:val="18"/>
        </w:rPr>
        <w:t>энергопринимающих</w:t>
      </w:r>
      <w:proofErr w:type="spellEnd"/>
      <w:r w:rsidRPr="00157DC1">
        <w:rPr>
          <w:rFonts w:ascii="Times New Roman" w:hAnsi="Times New Roman" w:cs="Times New Roman"/>
          <w:sz w:val="18"/>
          <w:szCs w:val="18"/>
        </w:rPr>
        <w:t xml:space="preserve">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roofErr w:type="gramEnd"/>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2.2.4. </w:t>
      </w:r>
      <w:proofErr w:type="gramStart"/>
      <w:r w:rsidRPr="00157DC1">
        <w:rPr>
          <w:rFonts w:ascii="Times New Roman" w:hAnsi="Times New Roman" w:cs="Times New Roman"/>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поставщика»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w:t>
      </w:r>
      <w:proofErr w:type="gramEnd"/>
      <w:r w:rsidRPr="00157DC1">
        <w:rPr>
          <w:rFonts w:ascii="Times New Roman" w:hAnsi="Times New Roman" w:cs="Times New Roman"/>
          <w:sz w:val="18"/>
          <w:szCs w:val="18"/>
        </w:rPr>
        <w:t xml:space="preserve">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общими (квартирными) приборами учета электрической энергии,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 о предстоящем введении ограничения  режима потребления электрической энергии по</w:t>
      </w:r>
      <w:r w:rsidR="00F25F64">
        <w:rPr>
          <w:rFonts w:ascii="Times New Roman" w:hAnsi="Times New Roman" w:cs="Times New Roman"/>
          <w:sz w:val="18"/>
          <w:szCs w:val="18"/>
        </w:rPr>
        <w:t xml:space="preserve"> мобильному </w:t>
      </w:r>
      <w:r>
        <w:rPr>
          <w:rFonts w:ascii="Times New Roman" w:hAnsi="Times New Roman" w:cs="Times New Roman"/>
          <w:sz w:val="18"/>
          <w:szCs w:val="18"/>
        </w:rPr>
        <w:t xml:space="preserve"> телефону_____________________, который Потребитель предоставляет Гарантирующему поставщику.</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157DC1" w:rsidRDefault="00157DC1" w:rsidP="00C7706A">
      <w:pPr>
        <w:autoSpaceDE w:val="0"/>
        <w:autoSpaceDN w:val="0"/>
        <w:adjustRightInd w:val="0"/>
        <w:spacing w:after="0" w:line="240" w:lineRule="auto"/>
        <w:jc w:val="both"/>
        <w:rPr>
          <w:rFonts w:ascii="Times New Roman" w:hAnsi="Times New Roman" w:cs="Times New Roman"/>
          <w:sz w:val="18"/>
          <w:szCs w:val="18"/>
        </w:rPr>
      </w:pPr>
    </w:p>
    <w:p w:rsidR="00192161" w:rsidRPr="00157DC1" w:rsidRDefault="00192161" w:rsidP="00C7706A">
      <w:pPr>
        <w:autoSpaceDE w:val="0"/>
        <w:autoSpaceDN w:val="0"/>
        <w:adjustRightInd w:val="0"/>
        <w:spacing w:after="0" w:line="240" w:lineRule="auto"/>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3.1.7. </w:t>
      </w:r>
      <w:proofErr w:type="gramStart"/>
      <w:r>
        <w:rPr>
          <w:rFonts w:ascii="Times New Roman" w:hAnsi="Times New Roman" w:cs="Times New Roman"/>
          <w:sz w:val="18"/>
          <w:szCs w:val="18"/>
        </w:rPr>
        <w:t>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w:t>
      </w:r>
      <w:proofErr w:type="gramEnd"/>
      <w:r w:rsidRPr="00213466">
        <w:rPr>
          <w:rFonts w:ascii="Times New Roman" w:hAnsi="Times New Roman" w:cs="Times New Roman"/>
          <w:sz w:val="18"/>
          <w:szCs w:val="18"/>
        </w:rPr>
        <w:t xml:space="preserve">) </w:t>
      </w:r>
      <w:proofErr w:type="gramStart"/>
      <w:r w:rsidRPr="00213466">
        <w:rPr>
          <w:rFonts w:ascii="Times New Roman" w:hAnsi="Times New Roman" w:cs="Times New Roman"/>
          <w:sz w:val="18"/>
          <w:szCs w:val="18"/>
        </w:rPr>
        <w:t>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roofErr w:type="gramEnd"/>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3.1.8. </w:t>
      </w:r>
      <w:proofErr w:type="gramStart"/>
      <w:r>
        <w:rPr>
          <w:rFonts w:ascii="Times New Roman" w:hAnsi="Times New Roman" w:cs="Times New Roman"/>
          <w:sz w:val="18"/>
          <w:szCs w:val="18"/>
        </w:rPr>
        <w:t>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w:t>
      </w:r>
      <w:proofErr w:type="gramEnd"/>
      <w:r w:rsidRPr="00213466">
        <w:rPr>
          <w:rFonts w:ascii="Times New Roman" w:hAnsi="Times New Roman" w:cs="Times New Roman"/>
          <w:sz w:val="18"/>
          <w:szCs w:val="18"/>
        </w:rPr>
        <w:t xml:space="preserve">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xml:space="preserve">. Не подключать </w:t>
      </w:r>
      <w:proofErr w:type="spellStart"/>
      <w:r w:rsidRPr="00157DC1">
        <w:rPr>
          <w:rFonts w:ascii="Times New Roman" w:hAnsi="Times New Roman" w:cs="Times New Roman"/>
          <w:sz w:val="18"/>
          <w:szCs w:val="18"/>
        </w:rPr>
        <w:t>несанкционированно</w:t>
      </w:r>
      <w:proofErr w:type="spellEnd"/>
      <w:r w:rsidRPr="00157DC1">
        <w:rPr>
          <w:rFonts w:ascii="Times New Roman" w:hAnsi="Times New Roman" w:cs="Times New Roman"/>
          <w:sz w:val="18"/>
          <w:szCs w:val="18"/>
        </w:rPr>
        <w:t xml:space="preserve">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w:t>
      </w:r>
      <w:proofErr w:type="gramEnd"/>
      <w:r w:rsidRPr="00157DC1">
        <w:rPr>
          <w:rFonts w:ascii="Times New Roman" w:hAnsi="Times New Roman" w:cs="Times New Roman"/>
          <w:sz w:val="18"/>
          <w:szCs w:val="18"/>
        </w:rPr>
        <w:t xml:space="preserve">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roofErr w:type="gramEnd"/>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xml:space="preserve">. «Потребитель» </w:t>
      </w:r>
      <w:proofErr w:type="gramStart"/>
      <w:r w:rsidRPr="00157DC1">
        <w:rPr>
          <w:rFonts w:ascii="Times New Roman" w:hAnsi="Times New Roman" w:cs="Times New Roman"/>
          <w:sz w:val="18"/>
          <w:szCs w:val="18"/>
        </w:rPr>
        <w:t>несет иные обязанности</w:t>
      </w:r>
      <w:proofErr w:type="gramEnd"/>
      <w:r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учетом </w:t>
      </w:r>
      <w:r w:rsidR="00E34C9B" w:rsidRPr="00676D7D">
        <w:rPr>
          <w:rFonts w:ascii="Times New Roman" w:hAnsi="Times New Roman" w:cs="Times New Roman"/>
          <w:sz w:val="18"/>
          <w:szCs w:val="18"/>
        </w:rPr>
        <w:t xml:space="preserve"> </w:t>
      </w:r>
      <w:r w:rsidR="00E34C9B">
        <w:rPr>
          <w:rFonts w:ascii="Times New Roman" w:hAnsi="Times New Roman" w:cs="Times New Roman"/>
          <w:sz w:val="18"/>
          <w:szCs w:val="18"/>
        </w:rPr>
        <w:t>установленных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 xml:space="preserve">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w:t>
      </w:r>
      <w:proofErr w:type="gramEnd"/>
      <w:r w:rsidRPr="00157DC1">
        <w:rPr>
          <w:rFonts w:ascii="Times New Roman" w:hAnsi="Times New Roman" w:cs="Times New Roman"/>
          <w:sz w:val="18"/>
          <w:szCs w:val="18"/>
        </w:rPr>
        <w:t xml:space="preserve"> осуществления расчетов размера </w:t>
      </w:r>
      <w:proofErr w:type="gramStart"/>
      <w:r w:rsidRPr="00157DC1">
        <w:rPr>
          <w:rFonts w:ascii="Times New Roman" w:hAnsi="Times New Roman" w:cs="Times New Roman"/>
          <w:sz w:val="18"/>
          <w:szCs w:val="18"/>
        </w:rPr>
        <w:t>платы</w:t>
      </w:r>
      <w:proofErr w:type="gramEnd"/>
      <w:r w:rsidRPr="00157DC1">
        <w:rPr>
          <w:rFonts w:ascii="Times New Roman" w:hAnsi="Times New Roman" w:cs="Times New Roman"/>
          <w:sz w:val="18"/>
          <w:szCs w:val="18"/>
        </w:rPr>
        <w:t xml:space="preserve">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С даты утраты</w:t>
      </w:r>
      <w:proofErr w:type="gramEnd"/>
      <w:r w:rsidRPr="00157DC1">
        <w:rPr>
          <w:rFonts w:ascii="Times New Roman" w:hAnsi="Times New Roman" w:cs="Times New Roman"/>
          <w:sz w:val="18"/>
          <w:szCs w:val="18"/>
        </w:rPr>
        <w:t xml:space="preserve">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w:t>
      </w:r>
      <w:proofErr w:type="spellStart"/>
      <w:r w:rsidRPr="00157DC1">
        <w:rPr>
          <w:rFonts w:ascii="Times New Roman" w:hAnsi="Times New Roman" w:cs="Times New Roman"/>
          <w:sz w:val="18"/>
          <w:szCs w:val="18"/>
        </w:rPr>
        <w:t>энергосбытовой</w:t>
      </w:r>
      <w:proofErr w:type="spellEnd"/>
      <w:r w:rsidRPr="00157DC1">
        <w:rPr>
          <w:rFonts w:ascii="Times New Roman" w:hAnsi="Times New Roman" w:cs="Times New Roman"/>
          <w:sz w:val="18"/>
          <w:szCs w:val="18"/>
        </w:rPr>
        <w:t xml:space="preserve"> (</w:t>
      </w:r>
      <w:proofErr w:type="spellStart"/>
      <w:r w:rsidRPr="00157DC1">
        <w:rPr>
          <w:rFonts w:ascii="Times New Roman" w:hAnsi="Times New Roman" w:cs="Times New Roman"/>
          <w:sz w:val="18"/>
          <w:szCs w:val="18"/>
        </w:rPr>
        <w:t>энергоснабжающей</w:t>
      </w:r>
      <w:proofErr w:type="spellEnd"/>
      <w:r w:rsidRPr="00157DC1">
        <w:rPr>
          <w:rFonts w:ascii="Times New Roman" w:hAnsi="Times New Roman" w:cs="Times New Roman"/>
          <w:sz w:val="18"/>
          <w:szCs w:val="18"/>
        </w:rPr>
        <w:t>)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4. ПОРЯДОК ОПРЕДЕЛЕНИЯ ОБЪЕМА ПОТРЕБЛЕННОЙ ЭЛЕКТРОЭНЕРГИИ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4.1. Определение объ</w:t>
      </w:r>
      <w:r w:rsidR="001766B7" w:rsidRPr="00157DC1">
        <w:rPr>
          <w:rFonts w:ascii="Times New Roman" w:hAnsi="Times New Roman" w:cs="Times New Roman"/>
          <w:sz w:val="18"/>
          <w:szCs w:val="18"/>
        </w:rPr>
        <w:t>е</w:t>
      </w:r>
      <w:r w:rsidRPr="00157DC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Pr>
          <w:rFonts w:ascii="Times New Roman" w:hAnsi="Times New Roman" w:cs="Times New Roman"/>
          <w:sz w:val="18"/>
          <w:szCs w:val="18"/>
        </w:rPr>
        <w:t xml:space="preserve"> осуществляется на основании показаний </w:t>
      </w:r>
      <w:r w:rsidR="00E34C9B" w:rsidRPr="00E34C9B">
        <w:rPr>
          <w:rFonts w:ascii="Times New Roman" w:hAnsi="Times New Roman" w:cs="Times New Roman"/>
          <w:sz w:val="18"/>
          <w:szCs w:val="18"/>
        </w:rPr>
        <w:t xml:space="preserve">индивидуального, общего (квартирного) или комнатного прибора </w:t>
      </w:r>
      <w:proofErr w:type="gramStart"/>
      <w:r w:rsidR="00E34C9B" w:rsidRPr="00E34C9B">
        <w:rPr>
          <w:rFonts w:ascii="Times New Roman" w:hAnsi="Times New Roman" w:cs="Times New Roman"/>
          <w:sz w:val="18"/>
          <w:szCs w:val="18"/>
        </w:rPr>
        <w:t>учета</w:t>
      </w:r>
      <w:proofErr w:type="gramEnd"/>
      <w:r w:rsidRPr="00157DC1">
        <w:rPr>
          <w:rFonts w:ascii="Times New Roman" w:hAnsi="Times New Roman" w:cs="Times New Roman"/>
          <w:sz w:val="18"/>
          <w:szCs w:val="18"/>
        </w:rPr>
        <w:t xml:space="preserve"> </w:t>
      </w:r>
      <w:r w:rsidR="00E34C9B">
        <w:rPr>
          <w:rFonts w:ascii="Times New Roman" w:hAnsi="Times New Roman" w:cs="Times New Roman"/>
          <w:sz w:val="18"/>
          <w:szCs w:val="18"/>
        </w:rPr>
        <w:t>а при отсут</w:t>
      </w:r>
      <w:r w:rsidR="0024647F">
        <w:rPr>
          <w:rFonts w:ascii="Times New Roman" w:hAnsi="Times New Roman" w:cs="Times New Roman"/>
          <w:sz w:val="18"/>
          <w:szCs w:val="18"/>
        </w:rPr>
        <w:t>ст</w:t>
      </w:r>
      <w:r w:rsidR="00E34C9B">
        <w:rPr>
          <w:rFonts w:ascii="Times New Roman" w:hAnsi="Times New Roman" w:cs="Times New Roman"/>
          <w:sz w:val="18"/>
          <w:szCs w:val="18"/>
        </w:rPr>
        <w:t xml:space="preserve">вии прибора учета - </w:t>
      </w:r>
      <w:r w:rsidRPr="00157DC1">
        <w:rPr>
          <w:rFonts w:ascii="Times New Roman" w:hAnsi="Times New Roman" w:cs="Times New Roman"/>
          <w:sz w:val="18"/>
          <w:szCs w:val="18"/>
        </w:rPr>
        <w:t xml:space="preserve">в пределах   </w:t>
      </w:r>
      <w:r w:rsidR="00E34C9B">
        <w:rPr>
          <w:rFonts w:ascii="Times New Roman" w:hAnsi="Times New Roman" w:cs="Times New Roman"/>
          <w:sz w:val="18"/>
          <w:szCs w:val="18"/>
        </w:rPr>
        <w:t xml:space="preserve">утвержденных </w:t>
      </w:r>
      <w:r w:rsidRPr="00157DC1">
        <w:rPr>
          <w:rFonts w:ascii="Times New Roman" w:hAnsi="Times New Roman" w:cs="Times New Roman"/>
          <w:sz w:val="18"/>
          <w:szCs w:val="18"/>
        </w:rPr>
        <w:t>норм</w:t>
      </w:r>
      <w:r w:rsidR="00E34C9B">
        <w:rPr>
          <w:rFonts w:ascii="Times New Roman" w:hAnsi="Times New Roman" w:cs="Times New Roman"/>
          <w:sz w:val="18"/>
          <w:szCs w:val="18"/>
        </w:rPr>
        <w:t>ативов</w:t>
      </w:r>
      <w:r w:rsidRPr="00157DC1">
        <w:rPr>
          <w:rFonts w:ascii="Times New Roman" w:hAnsi="Times New Roman" w:cs="Times New Roman"/>
          <w:sz w:val="18"/>
          <w:szCs w:val="18"/>
        </w:rPr>
        <w:t xml:space="preserve"> потребления электрической энергии (мощности)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жилых домов</w:t>
      </w:r>
      <w:r w:rsidR="00FC6EC9" w:rsidRPr="00157DC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w:t>
      </w:r>
      <w:proofErr w:type="gramStart"/>
      <w:r w:rsidRPr="00157DC1">
        <w:rPr>
          <w:rFonts w:ascii="Times New Roman" w:hAnsi="Times New Roman" w:cs="Times New Roman"/>
          <w:sz w:val="18"/>
          <w:szCs w:val="18"/>
        </w:rPr>
        <w:t xml:space="preserve">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w:t>
      </w:r>
      <w:proofErr w:type="gramEnd"/>
      <w:r w:rsidR="00FA4FF1" w:rsidRPr="00157DC1">
        <w:rPr>
          <w:rFonts w:ascii="Times New Roman" w:hAnsi="Times New Roman" w:cs="Times New Roman"/>
          <w:sz w:val="18"/>
          <w:szCs w:val="18"/>
        </w:rPr>
        <w:t xml:space="preserve">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Ind w:w="-238" w:type="dxa"/>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proofErr w:type="gramStart"/>
            <w:r w:rsidRPr="00157DC1">
              <w:rPr>
                <w:rFonts w:ascii="Times New Roman" w:hAnsi="Times New Roman" w:cs="Times New Roman"/>
                <w:sz w:val="16"/>
                <w:szCs w:val="16"/>
              </w:rPr>
              <w:t>Общий</w:t>
            </w:r>
            <w:proofErr w:type="gramEnd"/>
            <w:r w:rsidRPr="00157DC1">
              <w:rPr>
                <w:rFonts w:ascii="Times New Roman" w:hAnsi="Times New Roman" w:cs="Times New Roman"/>
                <w:sz w:val="16"/>
                <w:szCs w:val="16"/>
              </w:rPr>
              <w:t xml:space="preserve">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w:t>
            </w:r>
            <w:proofErr w:type="spellStart"/>
            <w:r w:rsidRPr="00157DC1">
              <w:rPr>
                <w:rFonts w:ascii="Times New Roman" w:hAnsi="Times New Roman" w:cs="Times New Roman"/>
                <w:sz w:val="16"/>
                <w:szCs w:val="16"/>
              </w:rPr>
              <w:t>квт</w:t>
            </w:r>
            <w:proofErr w:type="gramStart"/>
            <w:r w:rsidRPr="00157DC1">
              <w:rPr>
                <w:rFonts w:ascii="Times New Roman" w:hAnsi="Times New Roman" w:cs="Times New Roman"/>
                <w:sz w:val="16"/>
                <w:szCs w:val="16"/>
              </w:rPr>
              <w:t>.ч</w:t>
            </w:r>
            <w:proofErr w:type="spellEnd"/>
            <w:proofErr w:type="gramEnd"/>
            <w:r w:rsidRPr="00157DC1">
              <w:rPr>
                <w:rFonts w:ascii="Times New Roman" w:hAnsi="Times New Roman" w:cs="Times New Roman"/>
                <w:sz w:val="16"/>
                <w:szCs w:val="16"/>
              </w:rPr>
              <w:t>)</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 xml:space="preserve">пломба </w:t>
            </w:r>
            <w:proofErr w:type="spellStart"/>
            <w:r w:rsidRPr="00157DC1">
              <w:rPr>
                <w:rFonts w:ascii="Times New Roman" w:hAnsi="Times New Roman" w:cs="Times New Roman"/>
                <w:sz w:val="16"/>
                <w:szCs w:val="16"/>
              </w:rPr>
              <w:t>Госповерителя</w:t>
            </w:r>
            <w:proofErr w:type="spellEnd"/>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w:t>
            </w:r>
            <w:proofErr w:type="gramStart"/>
            <w:r w:rsidRPr="00157DC1">
              <w:rPr>
                <w:rFonts w:ascii="Times New Roman" w:hAnsi="Times New Roman" w:cs="Times New Roman"/>
                <w:sz w:val="16"/>
                <w:szCs w:val="16"/>
              </w:rPr>
              <w:t>м-</w:t>
            </w:r>
            <w:proofErr w:type="gramEnd"/>
            <w:r w:rsidRPr="00157DC1">
              <w:rPr>
                <w:rFonts w:ascii="Times New Roman" w:hAnsi="Times New Roman" w:cs="Times New Roman"/>
                <w:sz w:val="16"/>
                <w:szCs w:val="16"/>
              </w:rPr>
              <w:t xml:space="preserve">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lastRenderedPageBreak/>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 xml:space="preserve">елем» ежемесячно, не позднее 10-го числа месяца, следующего </w:t>
      </w:r>
      <w:proofErr w:type="gramStart"/>
      <w:r w:rsidRPr="00157DC1">
        <w:rPr>
          <w:rFonts w:ascii="Times New Roman" w:hAnsi="Times New Roman" w:cs="Times New Roman"/>
          <w:sz w:val="18"/>
          <w:szCs w:val="18"/>
        </w:rPr>
        <w:t>за</w:t>
      </w:r>
      <w:proofErr w:type="gramEnd"/>
      <w:r w:rsidRPr="00157DC1">
        <w:rPr>
          <w:rFonts w:ascii="Times New Roman" w:hAnsi="Times New Roman" w:cs="Times New Roman"/>
          <w:sz w:val="18"/>
          <w:szCs w:val="18"/>
        </w:rPr>
        <w:t xml:space="preserve">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 плату за электрическую энергию, потребляемую </w:t>
      </w:r>
      <w:r w:rsidR="00AA43E4">
        <w:rPr>
          <w:rFonts w:ascii="Times New Roman" w:hAnsi="Times New Roman" w:cs="Times New Roman"/>
          <w:sz w:val="18"/>
          <w:szCs w:val="18"/>
        </w:rPr>
        <w:t xml:space="preserve"> в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AA43E4">
        <w:rPr>
          <w:rFonts w:ascii="Times New Roman" w:hAnsi="Times New Roman" w:cs="Times New Roman"/>
          <w:sz w:val="18"/>
          <w:szCs w:val="18"/>
        </w:rPr>
        <w:t xml:space="preserve"> в адрес исполнителя коммунальных услуг</w:t>
      </w:r>
      <w:r w:rsidRPr="00157DC1">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7.5.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D95373" w:rsidRPr="00D95373" w:rsidRDefault="00FA4FF1" w:rsidP="00D95373">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bookmarkStart w:id="0" w:name="_GoBack"/>
      <w:bookmarkEnd w:id="0"/>
    </w:p>
    <w:tbl>
      <w:tblPr>
        <w:tblW w:w="0" w:type="auto"/>
        <w:tblInd w:w="392" w:type="dxa"/>
        <w:tblLook w:val="01E0" w:firstRow="1" w:lastRow="1" w:firstColumn="1" w:lastColumn="1" w:noHBand="0" w:noVBand="0"/>
      </w:tblPr>
      <w:tblGrid>
        <w:gridCol w:w="5344"/>
        <w:gridCol w:w="316"/>
        <w:gridCol w:w="316"/>
        <w:gridCol w:w="316"/>
        <w:gridCol w:w="316"/>
        <w:gridCol w:w="316"/>
        <w:gridCol w:w="316"/>
        <w:gridCol w:w="316"/>
        <w:gridCol w:w="316"/>
        <w:gridCol w:w="316"/>
        <w:gridCol w:w="316"/>
        <w:gridCol w:w="316"/>
        <w:gridCol w:w="316"/>
        <w:gridCol w:w="316"/>
        <w:gridCol w:w="271"/>
        <w:gridCol w:w="272"/>
        <w:gridCol w:w="35"/>
      </w:tblGrid>
      <w:tr w:rsidR="00D95373" w:rsidRPr="00D95373" w:rsidTr="0011606E">
        <w:tc>
          <w:tcPr>
            <w:tcW w:w="10532" w:type="dxa"/>
            <w:gridSpan w:val="17"/>
            <w:tcBorders>
              <w:top w:val="single" w:sz="4" w:space="0" w:color="auto"/>
              <w:left w:val="single" w:sz="4" w:space="0" w:color="auto"/>
              <w:bottom w:val="single" w:sz="4" w:space="0" w:color="auto"/>
              <w:right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sz w:val="20"/>
                <w:szCs w:val="20"/>
                <w:lang w:eastAsia="ru-RU"/>
              </w:rPr>
            </w:pPr>
            <w:r w:rsidRPr="00D95373">
              <w:rPr>
                <w:rFonts w:ascii="Times New Roman" w:eastAsia="Times New Roman" w:hAnsi="Times New Roman" w:cs="Times New Roman"/>
                <w:b/>
                <w:bCs/>
                <w:color w:val="000000"/>
                <w:sz w:val="18"/>
                <w:szCs w:val="18"/>
                <w:lang w:eastAsia="ru-RU"/>
              </w:rPr>
              <w:t>ПАО «</w:t>
            </w:r>
            <w:proofErr w:type="spellStart"/>
            <w:r w:rsidRPr="00D95373">
              <w:rPr>
                <w:rFonts w:ascii="Times New Roman" w:eastAsia="Times New Roman" w:hAnsi="Times New Roman" w:cs="Times New Roman"/>
                <w:b/>
                <w:bCs/>
                <w:color w:val="000000"/>
                <w:sz w:val="18"/>
                <w:szCs w:val="18"/>
                <w:lang w:eastAsia="ru-RU"/>
              </w:rPr>
              <w:t>Россети</w:t>
            </w:r>
            <w:proofErr w:type="spellEnd"/>
            <w:r w:rsidRPr="00D95373">
              <w:rPr>
                <w:rFonts w:ascii="Times New Roman" w:eastAsia="Times New Roman" w:hAnsi="Times New Roman" w:cs="Times New Roman"/>
                <w:b/>
                <w:bCs/>
                <w:color w:val="000000"/>
                <w:sz w:val="18"/>
                <w:szCs w:val="18"/>
                <w:lang w:eastAsia="ru-RU"/>
              </w:rPr>
              <w:t xml:space="preserve"> Северный Кавказ»</w:t>
            </w:r>
          </w:p>
        </w:tc>
      </w:tr>
      <w:tr w:rsidR="00D95373" w:rsidRPr="00D95373" w:rsidTr="0011606E">
        <w:tc>
          <w:tcPr>
            <w:tcW w:w="10532" w:type="dxa"/>
            <w:gridSpan w:val="17"/>
            <w:tcBorders>
              <w:top w:val="single" w:sz="4" w:space="0" w:color="auto"/>
              <w:bottom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sz w:val="20"/>
                <w:szCs w:val="20"/>
                <w:vertAlign w:val="superscript"/>
                <w:lang w:eastAsia="ru-RU"/>
              </w:rPr>
            </w:pPr>
            <w:r w:rsidRPr="00D95373">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D95373" w:rsidRPr="00D95373" w:rsidTr="0011606E">
        <w:tc>
          <w:tcPr>
            <w:tcW w:w="10532" w:type="dxa"/>
            <w:gridSpan w:val="17"/>
            <w:tcBorders>
              <w:top w:val="single" w:sz="4" w:space="0" w:color="auto"/>
              <w:left w:val="single" w:sz="4" w:space="0" w:color="auto"/>
              <w:bottom w:val="single" w:sz="4" w:space="0" w:color="auto"/>
              <w:right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b/>
                <w:sz w:val="20"/>
                <w:szCs w:val="20"/>
                <w:lang w:eastAsia="ru-RU"/>
              </w:rPr>
            </w:pPr>
            <w:r w:rsidRPr="00D95373">
              <w:rPr>
                <w:rFonts w:ascii="Times New Roman" w:eastAsia="Times New Roman" w:hAnsi="Times New Roman" w:cs="Times New Roman"/>
                <w:b/>
                <w:color w:val="000000"/>
                <w:sz w:val="18"/>
                <w:szCs w:val="18"/>
                <w:lang w:eastAsia="ru-RU"/>
              </w:rPr>
              <w:t xml:space="preserve">357506, Ставропольский край, г. Пятигорск, ул. </w:t>
            </w:r>
            <w:proofErr w:type="gramStart"/>
            <w:r w:rsidRPr="00D95373">
              <w:rPr>
                <w:rFonts w:ascii="Times New Roman" w:eastAsia="Times New Roman" w:hAnsi="Times New Roman" w:cs="Times New Roman"/>
                <w:b/>
                <w:color w:val="000000"/>
                <w:sz w:val="18"/>
                <w:szCs w:val="18"/>
                <w:lang w:eastAsia="ru-RU"/>
              </w:rPr>
              <w:t>Подстанционная</w:t>
            </w:r>
            <w:proofErr w:type="gramEnd"/>
            <w:r w:rsidRPr="00D95373">
              <w:rPr>
                <w:rFonts w:ascii="Times New Roman" w:eastAsia="Times New Roman" w:hAnsi="Times New Roman" w:cs="Times New Roman"/>
                <w:b/>
                <w:color w:val="000000"/>
                <w:sz w:val="18"/>
                <w:szCs w:val="18"/>
                <w:lang w:eastAsia="ru-RU"/>
              </w:rPr>
              <w:t>, 13А</w:t>
            </w:r>
          </w:p>
        </w:tc>
      </w:tr>
      <w:tr w:rsidR="00D95373" w:rsidRPr="00D95373" w:rsidTr="0011606E">
        <w:tc>
          <w:tcPr>
            <w:tcW w:w="10532" w:type="dxa"/>
            <w:gridSpan w:val="17"/>
            <w:tcBorders>
              <w:top w:val="single" w:sz="4" w:space="0" w:color="auto"/>
              <w:bottom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sz w:val="20"/>
                <w:szCs w:val="20"/>
                <w:vertAlign w:val="superscript"/>
                <w:lang w:eastAsia="ru-RU"/>
              </w:rPr>
            </w:pPr>
            <w:r w:rsidRPr="00D95373">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D95373" w:rsidRPr="00D95373" w:rsidTr="0011606E">
        <w:trPr>
          <w:trHeight w:val="201"/>
        </w:trPr>
        <w:tc>
          <w:tcPr>
            <w:tcW w:w="10532" w:type="dxa"/>
            <w:gridSpan w:val="17"/>
            <w:tcBorders>
              <w:top w:val="single" w:sz="4" w:space="0" w:color="auto"/>
              <w:left w:val="single" w:sz="4" w:space="0" w:color="auto"/>
              <w:bottom w:val="single" w:sz="4" w:space="0" w:color="auto"/>
              <w:right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b/>
                <w:sz w:val="18"/>
                <w:szCs w:val="18"/>
                <w:lang w:eastAsia="ru-RU"/>
              </w:rPr>
            </w:pPr>
            <w:r w:rsidRPr="00D95373">
              <w:rPr>
                <w:rFonts w:ascii="Times New Roman" w:eastAsia="Times New Roman" w:hAnsi="Times New Roman" w:cs="Times New Roman"/>
                <w:b/>
                <w:sz w:val="18"/>
                <w:szCs w:val="18"/>
                <w:lang w:eastAsia="ru-RU"/>
              </w:rPr>
              <w:t>Филиал ПАО «</w:t>
            </w:r>
            <w:proofErr w:type="spellStart"/>
            <w:r w:rsidRPr="00D95373">
              <w:rPr>
                <w:rFonts w:ascii="Times New Roman" w:eastAsia="Times New Roman" w:hAnsi="Times New Roman" w:cs="Times New Roman"/>
                <w:b/>
                <w:sz w:val="18"/>
                <w:szCs w:val="18"/>
                <w:lang w:eastAsia="ru-RU"/>
              </w:rPr>
              <w:t>Россети</w:t>
            </w:r>
            <w:proofErr w:type="spellEnd"/>
            <w:r w:rsidRPr="00D95373">
              <w:rPr>
                <w:rFonts w:ascii="Times New Roman" w:eastAsia="Times New Roman" w:hAnsi="Times New Roman" w:cs="Times New Roman"/>
                <w:b/>
                <w:sz w:val="18"/>
                <w:szCs w:val="18"/>
                <w:lang w:eastAsia="ru-RU"/>
              </w:rPr>
              <w:t xml:space="preserve"> Северный Кавказ» - «Каббалкэнерго»</w:t>
            </w:r>
          </w:p>
        </w:tc>
      </w:tr>
      <w:tr w:rsidR="00D95373" w:rsidRPr="00D95373" w:rsidTr="0011606E">
        <w:trPr>
          <w:trHeight w:val="233"/>
        </w:trPr>
        <w:tc>
          <w:tcPr>
            <w:tcW w:w="10532" w:type="dxa"/>
            <w:gridSpan w:val="17"/>
            <w:tcBorders>
              <w:top w:val="single" w:sz="4" w:space="0" w:color="auto"/>
              <w:bottom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D95373">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D95373" w:rsidRPr="00D95373" w:rsidTr="0011606E">
        <w:tc>
          <w:tcPr>
            <w:tcW w:w="10532" w:type="dxa"/>
            <w:gridSpan w:val="17"/>
            <w:tcBorders>
              <w:top w:val="single" w:sz="4" w:space="0" w:color="auto"/>
              <w:left w:val="single" w:sz="4" w:space="0" w:color="auto"/>
              <w:bottom w:val="single" w:sz="4" w:space="0" w:color="auto"/>
              <w:right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b/>
                <w:sz w:val="18"/>
                <w:szCs w:val="18"/>
                <w:lang w:eastAsia="ru-RU"/>
              </w:rPr>
            </w:pPr>
            <w:r w:rsidRPr="00D95373">
              <w:rPr>
                <w:rFonts w:ascii="Times New Roman" w:eastAsia="Times New Roman" w:hAnsi="Times New Roman" w:cs="Times New Roman"/>
                <w:b/>
                <w:sz w:val="18"/>
                <w:szCs w:val="18"/>
                <w:lang w:eastAsia="ru-RU"/>
              </w:rPr>
              <w:t>360015, Кабардино-Балкарская Республика, г. Нальчик ул. Щорса, 6</w:t>
            </w:r>
          </w:p>
        </w:tc>
      </w:tr>
      <w:tr w:rsidR="00D95373" w:rsidRPr="00D95373" w:rsidTr="0011606E">
        <w:trPr>
          <w:trHeight w:val="208"/>
        </w:trPr>
        <w:tc>
          <w:tcPr>
            <w:tcW w:w="10532" w:type="dxa"/>
            <w:gridSpan w:val="17"/>
            <w:tcBorders>
              <w:top w:val="single" w:sz="4" w:space="0" w:color="auto"/>
            </w:tcBorders>
          </w:tcPr>
          <w:p w:rsidR="00D95373" w:rsidRPr="00D95373" w:rsidRDefault="00D95373" w:rsidP="00D95373">
            <w:pPr>
              <w:spacing w:after="0" w:line="240" w:lineRule="auto"/>
              <w:jc w:val="center"/>
              <w:rPr>
                <w:rFonts w:ascii="Times New Roman" w:eastAsia="Times New Roman" w:hAnsi="Times New Roman" w:cs="Times New Roman"/>
                <w:sz w:val="20"/>
                <w:szCs w:val="20"/>
                <w:vertAlign w:val="superscript"/>
                <w:lang w:eastAsia="ru-RU"/>
              </w:rPr>
            </w:pPr>
            <w:r w:rsidRPr="00D95373">
              <w:rPr>
                <w:rFonts w:ascii="Times New Roman" w:eastAsia="Times New Roman" w:hAnsi="Times New Roman" w:cs="Times New Roman"/>
                <w:sz w:val="20"/>
                <w:szCs w:val="20"/>
                <w:vertAlign w:val="superscript"/>
                <w:lang w:eastAsia="ru-RU"/>
              </w:rPr>
              <w:t>(адрес филиала Гарантирующего поставщика)</w:t>
            </w:r>
          </w:p>
        </w:tc>
      </w:tr>
      <w:tr w:rsidR="00D95373" w:rsidRPr="00D95373" w:rsidTr="0011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D95373" w:rsidRPr="00D95373" w:rsidRDefault="00D95373" w:rsidP="00D95373">
            <w:pPr>
              <w:spacing w:after="0" w:line="240" w:lineRule="auto"/>
              <w:jc w:val="right"/>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Основной государственный регистрационный номер (ОГРН</w:t>
            </w:r>
            <w:proofErr w:type="gramStart"/>
            <w:r w:rsidRPr="00D95373">
              <w:rPr>
                <w:rFonts w:ascii="Times New Roman" w:eastAsia="Times New Roman" w:hAnsi="Times New Roman" w:cs="Times New Roman"/>
                <w:sz w:val="18"/>
                <w:szCs w:val="18"/>
                <w:lang w:eastAsia="ru-RU"/>
              </w:rPr>
              <w:t>)(</w:t>
            </w:r>
            <w:proofErr w:type="gramEnd"/>
            <w:r w:rsidRPr="00D95373">
              <w:rPr>
                <w:rFonts w:ascii="Times New Roman" w:eastAsia="Times New Roman" w:hAnsi="Times New Roman" w:cs="Times New Roman"/>
                <w:sz w:val="18"/>
                <w:szCs w:val="18"/>
                <w:lang w:eastAsia="ru-RU"/>
              </w:rPr>
              <w:t>ОГРНИП):</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1</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6</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6</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3</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9</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7</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7</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8</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r>
      <w:tr w:rsidR="00D95373" w:rsidRPr="00D95373" w:rsidTr="0011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D95373" w:rsidRPr="00D95373" w:rsidRDefault="00D95373" w:rsidP="00D95373">
            <w:pPr>
              <w:spacing w:after="0" w:line="240" w:lineRule="auto"/>
              <w:jc w:val="right"/>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Индивидуальный номер налогоплательщика (ИНН):</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6</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3</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8</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3</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3</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r>
      <w:tr w:rsidR="00D95373" w:rsidRPr="00D95373" w:rsidTr="0011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D95373" w:rsidRPr="00D95373" w:rsidRDefault="00D95373" w:rsidP="00D95373">
            <w:pPr>
              <w:spacing w:after="0" w:line="240" w:lineRule="auto"/>
              <w:jc w:val="right"/>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Код причины постановки (КПП):</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7</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8</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5</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1</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5</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0</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1</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r>
      <w:tr w:rsidR="00D95373" w:rsidRPr="00D95373" w:rsidTr="00116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D95373" w:rsidRPr="00D95373" w:rsidRDefault="00D95373" w:rsidP="00D95373">
            <w:pPr>
              <w:spacing w:after="0" w:line="240" w:lineRule="auto"/>
              <w:jc w:val="right"/>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Общероссийский классификатор видов экономической деятельности (ОКВЭД):</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3</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5</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1</w:t>
            </w: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r w:rsidRPr="00D95373">
              <w:rPr>
                <w:rFonts w:ascii="Times New Roman" w:eastAsia="Times New Roman" w:hAnsi="Times New Roman" w:cs="Times New Roman"/>
                <w:sz w:val="20"/>
                <w:szCs w:val="20"/>
                <w:lang w:eastAsia="ru-RU"/>
              </w:rPr>
              <w:t>2</w:t>
            </w: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D95373" w:rsidRPr="00D95373" w:rsidRDefault="00D95373" w:rsidP="00D95373">
            <w:pPr>
              <w:spacing w:after="0" w:line="240" w:lineRule="auto"/>
              <w:rPr>
                <w:rFonts w:ascii="Times New Roman" w:eastAsia="Times New Roman" w:hAnsi="Times New Roman" w:cs="Times New Roman"/>
                <w:sz w:val="20"/>
                <w:szCs w:val="20"/>
                <w:lang w:eastAsia="ru-RU"/>
              </w:rPr>
            </w:pPr>
          </w:p>
        </w:tc>
      </w:tr>
    </w:tbl>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Номер телефона  (8662) 77-12-32; Номер факса:</w:t>
      </w:r>
      <w:r w:rsidRPr="00D95373">
        <w:rPr>
          <w:rFonts w:ascii="Times New Roman" w:eastAsia="Times New Roman" w:hAnsi="Times New Roman" w:cs="Times New Roman"/>
          <w:szCs w:val="20"/>
          <w:lang w:eastAsia="ru-RU"/>
        </w:rPr>
        <w:t xml:space="preserve"> </w:t>
      </w:r>
      <w:r w:rsidRPr="00D95373">
        <w:rPr>
          <w:rFonts w:ascii="Times New Roman" w:eastAsia="Times New Roman" w:hAnsi="Times New Roman" w:cs="Times New Roman"/>
          <w:sz w:val="18"/>
          <w:szCs w:val="18"/>
          <w:lang w:eastAsia="ru-RU"/>
        </w:rPr>
        <w:t xml:space="preserve">(8662) 77-11-30  </w:t>
      </w:r>
    </w:p>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Адрес электронной почты info@kbr.rossetisk.ru</w:t>
      </w:r>
    </w:p>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Банк: Ставропольское отделение N5230 ПАО Сбербанк г. Ставрополь</w:t>
      </w:r>
    </w:p>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БИК: 040702615</w:t>
      </w:r>
    </w:p>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proofErr w:type="gramStart"/>
      <w:r w:rsidRPr="00D95373">
        <w:rPr>
          <w:rFonts w:ascii="Times New Roman" w:eastAsia="Times New Roman" w:hAnsi="Times New Roman" w:cs="Times New Roman"/>
          <w:sz w:val="18"/>
          <w:szCs w:val="18"/>
          <w:lang w:eastAsia="ru-RU"/>
        </w:rPr>
        <w:lastRenderedPageBreak/>
        <w:t>р</w:t>
      </w:r>
      <w:proofErr w:type="gramEnd"/>
      <w:r w:rsidRPr="00D95373">
        <w:rPr>
          <w:rFonts w:ascii="Times New Roman" w:eastAsia="Times New Roman" w:hAnsi="Times New Roman" w:cs="Times New Roman"/>
          <w:sz w:val="18"/>
          <w:szCs w:val="18"/>
          <w:lang w:eastAsia="ru-RU"/>
        </w:rPr>
        <w:t>/</w:t>
      </w:r>
      <w:proofErr w:type="spellStart"/>
      <w:r w:rsidRPr="00D95373">
        <w:rPr>
          <w:rFonts w:ascii="Times New Roman" w:eastAsia="Times New Roman" w:hAnsi="Times New Roman" w:cs="Times New Roman"/>
          <w:sz w:val="18"/>
          <w:szCs w:val="18"/>
          <w:lang w:eastAsia="ru-RU"/>
        </w:rPr>
        <w:t>сч</w:t>
      </w:r>
      <w:proofErr w:type="spellEnd"/>
      <w:r w:rsidRPr="00D95373">
        <w:rPr>
          <w:rFonts w:ascii="Times New Roman" w:eastAsia="Times New Roman" w:hAnsi="Times New Roman" w:cs="Times New Roman"/>
          <w:sz w:val="18"/>
          <w:szCs w:val="18"/>
          <w:lang w:eastAsia="ru-RU"/>
        </w:rPr>
        <w:t xml:space="preserve"> 40702810660100010628 </w:t>
      </w:r>
    </w:p>
    <w:p w:rsidR="00D95373" w:rsidRPr="00D95373" w:rsidRDefault="00D95373" w:rsidP="00D95373">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D95373">
        <w:rPr>
          <w:rFonts w:ascii="Times New Roman" w:eastAsia="Times New Roman" w:hAnsi="Times New Roman" w:cs="Times New Roman"/>
          <w:sz w:val="18"/>
          <w:szCs w:val="18"/>
          <w:lang w:eastAsia="ru-RU"/>
        </w:rPr>
        <w:t>к/</w:t>
      </w:r>
      <w:proofErr w:type="spellStart"/>
      <w:r w:rsidRPr="00D95373">
        <w:rPr>
          <w:rFonts w:ascii="Times New Roman" w:eastAsia="Times New Roman" w:hAnsi="Times New Roman" w:cs="Times New Roman"/>
          <w:sz w:val="18"/>
          <w:szCs w:val="18"/>
          <w:lang w:eastAsia="ru-RU"/>
        </w:rPr>
        <w:t>сч</w:t>
      </w:r>
      <w:proofErr w:type="spellEnd"/>
      <w:r w:rsidRPr="00D95373">
        <w:rPr>
          <w:rFonts w:ascii="Times New Roman" w:eastAsia="Times New Roman" w:hAnsi="Times New Roman" w:cs="Times New Roman"/>
          <w:sz w:val="18"/>
          <w:szCs w:val="18"/>
          <w:lang w:eastAsia="ru-RU"/>
        </w:rPr>
        <w:t xml:space="preserve"> 30101810907020000615</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 xml:space="preserve">, электрической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(1.осветительные установки общедомовых помещений, 2.</w:t>
      </w:r>
      <w:proofErr w:type="gramEnd"/>
      <w:r w:rsidRPr="00157DC1">
        <w:rPr>
          <w:rFonts w:ascii="Times New Roman" w:hAnsi="Times New Roman" w:cs="Times New Roman"/>
          <w:sz w:val="18"/>
          <w:szCs w:val="18"/>
        </w:rPr>
        <w:t xml:space="preserve">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w:t>
      </w:r>
      <w:proofErr w:type="gramStart"/>
      <w:r w:rsidRPr="00157DC1">
        <w:rPr>
          <w:rFonts w:ascii="Times New Roman" w:hAnsi="Times New Roman" w:cs="Times New Roman"/>
          <w:sz w:val="18"/>
          <w:szCs w:val="18"/>
        </w:rPr>
        <w:t xml:space="preserve"> С</w:t>
      </w:r>
      <w:proofErr w:type="gramEnd"/>
      <w:r w:rsidRPr="00157DC1">
        <w:rPr>
          <w:rFonts w:ascii="Times New Roman" w:hAnsi="Times New Roman" w:cs="Times New Roman"/>
          <w:sz w:val="18"/>
          <w:szCs w:val="18"/>
        </w:rPr>
        <w:t xml:space="preserve">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 xml:space="preserve">, электрической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ости электросетей (при наличии)</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ственности сторон (при наличии)</w:t>
      </w:r>
      <w:r w:rsidRPr="00157DC1">
        <w:rPr>
          <w:rFonts w:ascii="Times New Roman" w:hAnsi="Times New Roman" w:cs="Times New Roman"/>
          <w:sz w:val="18"/>
          <w:szCs w:val="18"/>
        </w:rPr>
        <w:t>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1D6AAB">
        <w:trPr>
          <w:trHeight w:hRule="exact" w:val="479"/>
        </w:trPr>
        <w:tc>
          <w:tcPr>
            <w:tcW w:w="10349" w:type="dxa"/>
            <w:gridSpan w:val="2"/>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94"/>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72"/>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19"/>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68"/>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57"/>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A92480">
        <w:trPr>
          <w:trHeight w:hRule="exact" w:val="98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МП</w:t>
      </w:r>
    </w:p>
    <w:sectPr w:rsidR="008042A1" w:rsidSect="00C7706A">
      <w:headerReference w:type="default" r:id="rId9"/>
      <w:footerReference w:type="default" r:id="rId10"/>
      <w:pgSz w:w="11906" w:h="16838"/>
      <w:pgMar w:top="426" w:right="707" w:bottom="284" w:left="993"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84" w:rsidRDefault="00506D84" w:rsidP="00A92480">
      <w:pPr>
        <w:spacing w:after="0" w:line="240" w:lineRule="auto"/>
      </w:pPr>
      <w:r>
        <w:separator/>
      </w:r>
    </w:p>
  </w:endnote>
  <w:endnote w:type="continuationSeparator" w:id="0">
    <w:p w:rsidR="00506D84" w:rsidRDefault="00506D84"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D95373">
          <w:rPr>
            <w:rFonts w:ascii="Times New Roman" w:hAnsi="Times New Roman" w:cs="Times New Roman"/>
            <w:noProof/>
            <w:sz w:val="20"/>
            <w:szCs w:val="20"/>
          </w:rPr>
          <w:t>6</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84" w:rsidRDefault="00506D84" w:rsidP="00A92480">
      <w:pPr>
        <w:spacing w:after="0" w:line="240" w:lineRule="auto"/>
      </w:pPr>
      <w:r>
        <w:separator/>
      </w:r>
    </w:p>
  </w:footnote>
  <w:footnote w:type="continuationSeparator" w:id="0">
    <w:p w:rsidR="00506D84" w:rsidRDefault="00506D84" w:rsidP="00A9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A8"/>
    <w:rsid w:val="00032659"/>
    <w:rsid w:val="00043DD5"/>
    <w:rsid w:val="0004551A"/>
    <w:rsid w:val="00092576"/>
    <w:rsid w:val="000E46CE"/>
    <w:rsid w:val="000F6E9F"/>
    <w:rsid w:val="00101945"/>
    <w:rsid w:val="00114649"/>
    <w:rsid w:val="00115CD3"/>
    <w:rsid w:val="0013475A"/>
    <w:rsid w:val="00150B49"/>
    <w:rsid w:val="00157DC1"/>
    <w:rsid w:val="001766B7"/>
    <w:rsid w:val="00192161"/>
    <w:rsid w:val="001A7AC8"/>
    <w:rsid w:val="001C6D85"/>
    <w:rsid w:val="001E6169"/>
    <w:rsid w:val="0020298C"/>
    <w:rsid w:val="0021073D"/>
    <w:rsid w:val="00213466"/>
    <w:rsid w:val="00234382"/>
    <w:rsid w:val="0024647F"/>
    <w:rsid w:val="002F1057"/>
    <w:rsid w:val="002F4473"/>
    <w:rsid w:val="00302E6C"/>
    <w:rsid w:val="00350715"/>
    <w:rsid w:val="00353A99"/>
    <w:rsid w:val="003A0279"/>
    <w:rsid w:val="003B5A4C"/>
    <w:rsid w:val="003C29DD"/>
    <w:rsid w:val="003D567C"/>
    <w:rsid w:val="003D569F"/>
    <w:rsid w:val="003E06FA"/>
    <w:rsid w:val="004E77A4"/>
    <w:rsid w:val="00506D84"/>
    <w:rsid w:val="00572401"/>
    <w:rsid w:val="005740F3"/>
    <w:rsid w:val="005C5D8F"/>
    <w:rsid w:val="005D383C"/>
    <w:rsid w:val="005E2589"/>
    <w:rsid w:val="00647342"/>
    <w:rsid w:val="0065650C"/>
    <w:rsid w:val="00676D7D"/>
    <w:rsid w:val="006A5759"/>
    <w:rsid w:val="006D1C7F"/>
    <w:rsid w:val="006D6DE6"/>
    <w:rsid w:val="006E0EDB"/>
    <w:rsid w:val="00725DEC"/>
    <w:rsid w:val="00737702"/>
    <w:rsid w:val="007943DD"/>
    <w:rsid w:val="007B182D"/>
    <w:rsid w:val="007B3C05"/>
    <w:rsid w:val="008042A1"/>
    <w:rsid w:val="008324BC"/>
    <w:rsid w:val="0084484F"/>
    <w:rsid w:val="00853BA8"/>
    <w:rsid w:val="008619A1"/>
    <w:rsid w:val="00873325"/>
    <w:rsid w:val="00894C10"/>
    <w:rsid w:val="009015B2"/>
    <w:rsid w:val="009351E8"/>
    <w:rsid w:val="00991857"/>
    <w:rsid w:val="009B7854"/>
    <w:rsid w:val="009C1C70"/>
    <w:rsid w:val="009C597B"/>
    <w:rsid w:val="009D2FCE"/>
    <w:rsid w:val="009D63ED"/>
    <w:rsid w:val="009F2F69"/>
    <w:rsid w:val="00A54DAD"/>
    <w:rsid w:val="00A800EA"/>
    <w:rsid w:val="00A92480"/>
    <w:rsid w:val="00AA43E4"/>
    <w:rsid w:val="00B51E38"/>
    <w:rsid w:val="00B91BFB"/>
    <w:rsid w:val="00BE59F0"/>
    <w:rsid w:val="00C31ED1"/>
    <w:rsid w:val="00C369F0"/>
    <w:rsid w:val="00C67F9D"/>
    <w:rsid w:val="00C7706A"/>
    <w:rsid w:val="00C90E97"/>
    <w:rsid w:val="00CC2ECA"/>
    <w:rsid w:val="00CD315C"/>
    <w:rsid w:val="00D22DAC"/>
    <w:rsid w:val="00D362DE"/>
    <w:rsid w:val="00D60031"/>
    <w:rsid w:val="00D95373"/>
    <w:rsid w:val="00D971B1"/>
    <w:rsid w:val="00DB62A0"/>
    <w:rsid w:val="00DE2E1B"/>
    <w:rsid w:val="00DF1EFF"/>
    <w:rsid w:val="00E03784"/>
    <w:rsid w:val="00E34C9B"/>
    <w:rsid w:val="00E91172"/>
    <w:rsid w:val="00EC1879"/>
    <w:rsid w:val="00EC704D"/>
    <w:rsid w:val="00ED0785"/>
    <w:rsid w:val="00EE628B"/>
    <w:rsid w:val="00EF012F"/>
    <w:rsid w:val="00F0652A"/>
    <w:rsid w:val="00F25F64"/>
    <w:rsid w:val="00F77F0A"/>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8168-BB2E-47DF-A70D-4FFE90C8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5053</Words>
  <Characters>28805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Боева Марина Леонидовна</cp:lastModifiedBy>
  <cp:revision>3</cp:revision>
  <cp:lastPrinted>2020-04-06T10:29:00Z</cp:lastPrinted>
  <dcterms:created xsi:type="dcterms:W3CDTF">2021-07-08T14:07:00Z</dcterms:created>
  <dcterms:modified xsi:type="dcterms:W3CDTF">2021-07-30T09:32:00Z</dcterms:modified>
</cp:coreProperties>
</file>